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8806" w14:textId="61D55B60" w:rsidR="008C39C6" w:rsidRPr="00BF4929" w:rsidRDefault="00612F8D" w:rsidP="00FC1C9C">
      <w:pPr>
        <w:contextualSpacing/>
        <w:jc w:val="center"/>
        <w:rPr>
          <w:b/>
          <w:bCs/>
          <w:color w:val="425254" w:themeColor="text1"/>
          <w:sz w:val="32"/>
          <w:szCs w:val="32"/>
          <w:lang w:val="en-GB"/>
        </w:rPr>
      </w:pPr>
      <w:r w:rsidRPr="00BF4929">
        <w:rPr>
          <w:b/>
          <w:bCs/>
          <w:color w:val="425254" w:themeColor="text1"/>
          <w:sz w:val="32"/>
          <w:szCs w:val="32"/>
          <w:lang w:val="en-GB"/>
        </w:rPr>
        <w:t>Hotels confirm their resilience: over 90% of investors plan to maintain or</w:t>
      </w:r>
      <w:r w:rsidR="001C5BF6">
        <w:rPr>
          <w:b/>
          <w:bCs/>
          <w:color w:val="425254" w:themeColor="text1"/>
          <w:sz w:val="32"/>
          <w:szCs w:val="32"/>
          <w:lang w:val="en-GB"/>
        </w:rPr>
        <w:t> </w:t>
      </w:r>
      <w:r w:rsidRPr="00BF4929">
        <w:rPr>
          <w:b/>
          <w:bCs/>
          <w:color w:val="425254" w:themeColor="text1"/>
          <w:sz w:val="32"/>
          <w:szCs w:val="32"/>
          <w:lang w:val="en-GB"/>
        </w:rPr>
        <w:t>increase capital allocations. Prague breaks into Europe's TOP 10 cities</w:t>
      </w:r>
    </w:p>
    <w:p w14:paraId="261AB0CF" w14:textId="77777777" w:rsidR="00612F8D" w:rsidRPr="00BF4929" w:rsidRDefault="00612F8D" w:rsidP="00FC1C9C">
      <w:pPr>
        <w:contextualSpacing/>
        <w:jc w:val="center"/>
        <w:rPr>
          <w:b/>
          <w:bCs/>
          <w:color w:val="425254" w:themeColor="text1"/>
          <w:sz w:val="36"/>
          <w:szCs w:val="36"/>
          <w:lang w:val="en-GB"/>
        </w:rPr>
      </w:pPr>
    </w:p>
    <w:p w14:paraId="026AFE0D" w14:textId="3D29294B" w:rsidR="00525B80" w:rsidRPr="00BF4929" w:rsidRDefault="00525B80" w:rsidP="00525B80">
      <w:pPr>
        <w:pStyle w:val="Odstavecseseznamem"/>
        <w:numPr>
          <w:ilvl w:val="0"/>
          <w:numId w:val="18"/>
        </w:numPr>
        <w:rPr>
          <w:rFonts w:ascii="Times New Roman" w:hAnsi="Times New Roman" w:cs="Times New Roman"/>
          <w:b/>
          <w:bCs/>
          <w:i/>
          <w:iCs/>
          <w:color w:val="425254" w:themeColor="text1"/>
          <w:lang w:val="en-GB"/>
        </w:rPr>
      </w:pPr>
      <w:r w:rsidRPr="00BF4929">
        <w:rPr>
          <w:rFonts w:ascii="Times New Roman" w:hAnsi="Times New Roman" w:cs="Times New Roman"/>
          <w:b/>
          <w:bCs/>
          <w:i/>
          <w:iCs/>
          <w:color w:val="425254" w:themeColor="text1"/>
          <w:lang w:val="en-GB"/>
        </w:rPr>
        <w:t>More than 90% of European investors plan to maintain or increase their investment in hotel assets this</w:t>
      </w:r>
      <w:r w:rsidR="001C5BF6">
        <w:rPr>
          <w:rFonts w:ascii="Times New Roman" w:hAnsi="Times New Roman" w:cs="Times New Roman"/>
          <w:b/>
          <w:bCs/>
          <w:i/>
          <w:iCs/>
          <w:color w:val="425254" w:themeColor="text1"/>
          <w:lang w:val="en-GB"/>
        </w:rPr>
        <w:t> </w:t>
      </w:r>
      <w:r w:rsidRPr="00BF4929">
        <w:rPr>
          <w:rFonts w:ascii="Times New Roman" w:hAnsi="Times New Roman" w:cs="Times New Roman"/>
          <w:b/>
          <w:bCs/>
          <w:i/>
          <w:iCs/>
          <w:color w:val="425254" w:themeColor="text1"/>
          <w:lang w:val="en-GB"/>
        </w:rPr>
        <w:t>year, with almost a third (31%) expecting a significant increase.</w:t>
      </w:r>
    </w:p>
    <w:p w14:paraId="5DA0F3B1" w14:textId="77777777" w:rsidR="00525B80" w:rsidRPr="00BF4929" w:rsidRDefault="00525B80" w:rsidP="00525B80">
      <w:pPr>
        <w:pStyle w:val="Odstavecseseznamem"/>
        <w:numPr>
          <w:ilvl w:val="0"/>
          <w:numId w:val="18"/>
        </w:numPr>
        <w:rPr>
          <w:rFonts w:ascii="Times New Roman" w:hAnsi="Times New Roman" w:cs="Times New Roman"/>
          <w:b/>
          <w:bCs/>
          <w:i/>
          <w:iCs/>
          <w:color w:val="425254" w:themeColor="text1"/>
          <w:lang w:val="en-GB"/>
        </w:rPr>
      </w:pPr>
      <w:r w:rsidRPr="00BF4929">
        <w:rPr>
          <w:rFonts w:ascii="Times New Roman" w:hAnsi="Times New Roman" w:cs="Times New Roman"/>
          <w:b/>
          <w:bCs/>
          <w:i/>
          <w:iCs/>
          <w:color w:val="425254" w:themeColor="text1"/>
          <w:lang w:val="en-GB"/>
        </w:rPr>
        <w:t>Prague has strengthened its position and now shares 7th place in the ranking of Europe's most attractive cities for hotel investment, alongside Copenhagen, Rome, Geneva and Athens.</w:t>
      </w:r>
    </w:p>
    <w:p w14:paraId="02B1A546" w14:textId="77777777" w:rsidR="00525B80" w:rsidRPr="00BF4929" w:rsidRDefault="00525B80" w:rsidP="00525B80">
      <w:pPr>
        <w:pStyle w:val="Odstavecseseznamem"/>
        <w:numPr>
          <w:ilvl w:val="0"/>
          <w:numId w:val="18"/>
        </w:numPr>
        <w:rPr>
          <w:rFonts w:ascii="Times New Roman" w:hAnsi="Times New Roman" w:cs="Times New Roman"/>
          <w:b/>
          <w:bCs/>
          <w:i/>
          <w:iCs/>
          <w:color w:val="425254" w:themeColor="text1"/>
          <w:lang w:val="en-GB"/>
        </w:rPr>
      </w:pPr>
      <w:r w:rsidRPr="00BF4929">
        <w:rPr>
          <w:rFonts w:ascii="Times New Roman" w:hAnsi="Times New Roman" w:cs="Times New Roman"/>
          <w:b/>
          <w:bCs/>
          <w:i/>
          <w:iCs/>
          <w:color w:val="425254" w:themeColor="text1"/>
          <w:lang w:val="en-GB"/>
        </w:rPr>
        <w:t>Luxury five-star hotels remain the most sought-after segment (53%), while preference for global brands (53%) is growing at the expense of independent hotels.</w:t>
      </w:r>
    </w:p>
    <w:p w14:paraId="418A66AC" w14:textId="054F4F7D" w:rsidR="00525B80" w:rsidRPr="00BF4929" w:rsidRDefault="00525B80" w:rsidP="00525B80">
      <w:pPr>
        <w:pStyle w:val="Odstavecseseznamem"/>
        <w:numPr>
          <w:ilvl w:val="0"/>
          <w:numId w:val="18"/>
        </w:numPr>
        <w:rPr>
          <w:rFonts w:ascii="Times New Roman" w:hAnsi="Times New Roman" w:cs="Times New Roman"/>
          <w:b/>
          <w:bCs/>
          <w:i/>
          <w:iCs/>
          <w:color w:val="425254" w:themeColor="text1"/>
          <w:lang w:val="en-GB"/>
        </w:rPr>
      </w:pPr>
      <w:r w:rsidRPr="00BF4929">
        <w:rPr>
          <w:rFonts w:ascii="Times New Roman" w:hAnsi="Times New Roman" w:cs="Times New Roman"/>
          <w:b/>
          <w:bCs/>
          <w:i/>
          <w:iCs/>
          <w:color w:val="425254" w:themeColor="text1"/>
          <w:lang w:val="en-GB"/>
        </w:rPr>
        <w:t>The Czech hotel market is experiencing an active year, confirmed by major transactions such as the</w:t>
      </w:r>
      <w:r w:rsidR="001C5BF6">
        <w:rPr>
          <w:rFonts w:ascii="Times New Roman" w:hAnsi="Times New Roman" w:cs="Times New Roman"/>
          <w:b/>
          <w:bCs/>
          <w:i/>
          <w:iCs/>
          <w:color w:val="425254" w:themeColor="text1"/>
          <w:lang w:val="en-GB"/>
        </w:rPr>
        <w:t> </w:t>
      </w:r>
      <w:r w:rsidRPr="00BF4929">
        <w:rPr>
          <w:rFonts w:ascii="Times New Roman" w:hAnsi="Times New Roman" w:cs="Times New Roman"/>
          <w:b/>
          <w:bCs/>
          <w:i/>
          <w:iCs/>
          <w:color w:val="425254" w:themeColor="text1"/>
          <w:lang w:val="en-GB"/>
        </w:rPr>
        <w:t>sale of the Prague Marriott Hotel, the Luxury Collection Augustine and the Vienna House Andel's Prague.</w:t>
      </w:r>
    </w:p>
    <w:p w14:paraId="365F7A08" w14:textId="77777777" w:rsidR="00FC1C9C" w:rsidRPr="00BF4929" w:rsidRDefault="00FC1C9C" w:rsidP="00FC1C9C">
      <w:pPr>
        <w:pStyle w:val="Odstavecseseznamem"/>
        <w:jc w:val="both"/>
        <w:rPr>
          <w:rFonts w:ascii="Times New Roman" w:hAnsi="Times New Roman" w:cs="Times New Roman"/>
          <w:b/>
          <w:bCs/>
          <w:color w:val="425254" w:themeColor="text1"/>
          <w:sz w:val="24"/>
          <w:szCs w:val="24"/>
          <w:lang w:val="en-GB"/>
        </w:rPr>
      </w:pPr>
    </w:p>
    <w:p w14:paraId="7D8C49BB" w14:textId="0012B970" w:rsidR="00525B80" w:rsidRPr="00BF4929" w:rsidRDefault="00525B80" w:rsidP="00525B80">
      <w:pPr>
        <w:spacing w:after="160"/>
        <w:jc w:val="both"/>
        <w:rPr>
          <w:color w:val="425254" w:themeColor="text1"/>
          <w:lang w:val="en-GB"/>
        </w:rPr>
      </w:pPr>
      <w:r w:rsidRPr="00BF4929">
        <w:rPr>
          <w:b/>
          <w:bCs/>
          <w:color w:val="425254" w:themeColor="text1"/>
          <w:lang w:val="en-GB"/>
        </w:rPr>
        <w:t xml:space="preserve">Prague – 9 September 2026 – </w:t>
      </w:r>
      <w:r w:rsidRPr="00BF4929">
        <w:rPr>
          <w:color w:val="425254" w:themeColor="text1"/>
          <w:lang w:val="en-GB"/>
        </w:rPr>
        <w:t>Europe's hotel sector is demonstrating exceptional resilience and</w:t>
      </w:r>
      <w:r w:rsidR="00AB3CC2">
        <w:rPr>
          <w:color w:val="425254" w:themeColor="text1"/>
          <w:lang w:val="en-GB"/>
        </w:rPr>
        <w:t> </w:t>
      </w:r>
      <w:r w:rsidRPr="00BF4929">
        <w:rPr>
          <w:color w:val="425254" w:themeColor="text1"/>
          <w:lang w:val="en-GB"/>
        </w:rPr>
        <w:t>consolidating its position among the key real estate asset classes. According to the latest survey by CBRE, the world's leading commercial real estate services firm, more than 90% of the investors surveyed plan to maintain or further increase the volume of capital directed into hotel properties this year. Appetite remains strong despite macroeconomic uncertainty and heightened geopolitical tension. Prague has also left a notable mark in the pan-European comparison, improving year on year to join the top ten most attractive investment destinations.</w:t>
      </w:r>
    </w:p>
    <w:p w14:paraId="2CE763E1" w14:textId="3EEA66A8" w:rsidR="00525B80" w:rsidRPr="00BF4929" w:rsidRDefault="00525B80" w:rsidP="00525B80">
      <w:pPr>
        <w:spacing w:after="160"/>
        <w:jc w:val="both"/>
        <w:rPr>
          <w:color w:val="425254" w:themeColor="text1"/>
          <w:lang w:val="en-GB"/>
        </w:rPr>
      </w:pPr>
      <w:r w:rsidRPr="00BF4929">
        <w:rPr>
          <w:color w:val="425254" w:themeColor="text1"/>
          <w:lang w:val="en-GB"/>
        </w:rPr>
        <w:t>Investor confidence in the hotel market rests primarily on favourable total return prospects, cited as the</w:t>
      </w:r>
      <w:r w:rsidR="00AB3CC2">
        <w:rPr>
          <w:color w:val="425254" w:themeColor="text1"/>
          <w:lang w:val="en-GB"/>
        </w:rPr>
        <w:t> </w:t>
      </w:r>
      <w:r w:rsidRPr="00BF4929">
        <w:rPr>
          <w:color w:val="425254" w:themeColor="text1"/>
          <w:lang w:val="en-GB"/>
        </w:rPr>
        <w:t>main reason for increasing investment volumes by a third of respondents (33%). A balanced relationship between supply and demand also plays an important role, together with growing interest in</w:t>
      </w:r>
      <w:r w:rsidR="00AB3CC2">
        <w:rPr>
          <w:color w:val="425254" w:themeColor="text1"/>
          <w:lang w:val="en-GB"/>
        </w:rPr>
        <w:t> </w:t>
      </w:r>
      <w:r w:rsidRPr="00BF4929">
        <w:rPr>
          <w:color w:val="425254" w:themeColor="text1"/>
          <w:lang w:val="en-GB"/>
        </w:rPr>
        <w:t>experiential travel across all generations.</w:t>
      </w:r>
    </w:p>
    <w:p w14:paraId="540D2D54" w14:textId="77777777" w:rsidR="00525B80" w:rsidRPr="00BF4929" w:rsidRDefault="00525B80" w:rsidP="00525B80">
      <w:pPr>
        <w:spacing w:after="160"/>
        <w:jc w:val="both"/>
        <w:rPr>
          <w:color w:val="425254" w:themeColor="text1"/>
          <w:lang w:val="en-GB"/>
        </w:rPr>
      </w:pPr>
      <w:r w:rsidRPr="00BF4929">
        <w:rPr>
          <w:i/>
          <w:iCs/>
          <w:color w:val="425254" w:themeColor="text1"/>
          <w:lang w:val="en-GB"/>
        </w:rPr>
        <w:t>"This year's survey results clearly confirm that investors no longer view hotels merely as a cyclical opportunity, but as a strategic and structural component of their portfolios. Hotels are able to respond effectively to inflation and to changing market conditions. Prague's ranking is excellent news for the domestic market — the city shares 7th place among Europe's most sought-after cities together with capitals such as Copenhagen, Rome, Geneva and Athens. Prague benefits from its long-standing reputation as a safe and stable destination and attracts both established international capital and strong regional players,"</w:t>
      </w:r>
      <w:r w:rsidRPr="00BF4929">
        <w:rPr>
          <w:color w:val="425254" w:themeColor="text1"/>
          <w:lang w:val="en-GB"/>
        </w:rPr>
        <w:t xml:space="preserve"> says </w:t>
      </w:r>
      <w:r w:rsidRPr="00BF4929">
        <w:rPr>
          <w:b/>
          <w:bCs/>
          <w:color w:val="425254" w:themeColor="text1"/>
          <w:lang w:val="en-GB"/>
        </w:rPr>
        <w:t>Jakub Stanislav, Head of Hotel Investment for the CEE region and Head of Capital Markets at CBRE in the Czech Republic</w:t>
      </w:r>
      <w:r w:rsidRPr="00BF4929">
        <w:rPr>
          <w:color w:val="425254" w:themeColor="text1"/>
          <w:lang w:val="en-GB"/>
        </w:rPr>
        <w:t>.</w:t>
      </w:r>
    </w:p>
    <w:p w14:paraId="0832BB15" w14:textId="77777777" w:rsidR="00525B80" w:rsidRPr="00BF4929" w:rsidRDefault="00525B80" w:rsidP="00376FDB">
      <w:pPr>
        <w:spacing w:after="160"/>
        <w:contextualSpacing/>
        <w:jc w:val="both"/>
        <w:rPr>
          <w:b/>
          <w:bCs/>
          <w:color w:val="425254" w:themeColor="text1"/>
          <w:lang w:val="en-GB"/>
        </w:rPr>
      </w:pPr>
      <w:r w:rsidRPr="00BF4929">
        <w:rPr>
          <w:b/>
          <w:bCs/>
          <w:color w:val="425254" w:themeColor="text1"/>
          <w:lang w:val="en-GB"/>
        </w:rPr>
        <w:t>Investors back luxury assets and turn to stable global brands</w:t>
      </w:r>
    </w:p>
    <w:p w14:paraId="35F7826F" w14:textId="77777777" w:rsidR="00525B80" w:rsidRPr="00BF4929" w:rsidRDefault="00525B80" w:rsidP="00376FDB">
      <w:pPr>
        <w:spacing w:after="160"/>
        <w:contextualSpacing/>
        <w:jc w:val="both"/>
        <w:rPr>
          <w:color w:val="425254" w:themeColor="text1"/>
          <w:lang w:val="en-GB"/>
        </w:rPr>
      </w:pPr>
      <w:r w:rsidRPr="00BF4929">
        <w:rPr>
          <w:color w:val="425254" w:themeColor="text1"/>
          <w:lang w:val="en-GB"/>
        </w:rPr>
        <w:t>Looking at individual hotel categories, the luxury segment — premium five-star hotels offering the highest level of personalised service — remains the clear favourite, rated most attractive by 53% of investors, followed by the upper upscale segment (44%). Luxury hotels appeal thanks to their ability to sustain strong pricing power and a stable, high-net-worth clientele.</w:t>
      </w:r>
    </w:p>
    <w:p w14:paraId="1F1906B6" w14:textId="77777777" w:rsidR="00376FDB" w:rsidRPr="00BF4929" w:rsidRDefault="00376FDB" w:rsidP="00376FDB">
      <w:pPr>
        <w:spacing w:after="160"/>
        <w:contextualSpacing/>
        <w:jc w:val="both"/>
        <w:rPr>
          <w:color w:val="425254" w:themeColor="text1"/>
          <w:lang w:val="en-GB"/>
        </w:rPr>
      </w:pPr>
    </w:p>
    <w:p w14:paraId="6CCB2313" w14:textId="77777777" w:rsidR="00525B80" w:rsidRPr="00215FA9" w:rsidRDefault="00525B80" w:rsidP="00525B80">
      <w:pPr>
        <w:spacing w:after="160"/>
        <w:jc w:val="both"/>
        <w:rPr>
          <w:b/>
          <w:bCs/>
          <w:color w:val="425254" w:themeColor="text1"/>
          <w:lang w:val="en-GB"/>
        </w:rPr>
      </w:pPr>
      <w:r w:rsidRPr="00215FA9">
        <w:rPr>
          <w:b/>
          <w:bCs/>
          <w:color w:val="425254" w:themeColor="text1"/>
          <w:lang w:val="en-GB"/>
        </w:rPr>
        <w:t>One of the most striking year-on-year shifts recorded by the survey concerns attitudes towards hotel brands:</w:t>
      </w:r>
    </w:p>
    <w:p w14:paraId="49F9BD97" w14:textId="013D1F0D" w:rsidR="00525B80" w:rsidRPr="00BF4929" w:rsidRDefault="00525B80" w:rsidP="00376FDB">
      <w:pPr>
        <w:pStyle w:val="Odstavecseseznamem"/>
        <w:numPr>
          <w:ilvl w:val="0"/>
          <w:numId w:val="20"/>
        </w:numPr>
        <w:spacing w:after="160"/>
        <w:ind w:left="714" w:hanging="357"/>
        <w:contextualSpacing/>
        <w:jc w:val="both"/>
        <w:rPr>
          <w:rFonts w:ascii="Times New Roman" w:hAnsi="Times New Roman" w:cs="Times New Roman"/>
          <w:color w:val="425254" w:themeColor="text1"/>
          <w:sz w:val="24"/>
          <w:szCs w:val="24"/>
          <w:lang w:val="en-GB"/>
        </w:rPr>
      </w:pPr>
      <w:r w:rsidRPr="00BF4929">
        <w:rPr>
          <w:rFonts w:ascii="Times New Roman" w:hAnsi="Times New Roman" w:cs="Times New Roman"/>
          <w:color w:val="425254" w:themeColor="text1"/>
          <w:sz w:val="24"/>
          <w:szCs w:val="24"/>
          <w:lang w:val="en-GB"/>
        </w:rPr>
        <w:t>Preference for globally established brands rose from 43% last year to 53%.</w:t>
      </w:r>
    </w:p>
    <w:p w14:paraId="0CEB3681" w14:textId="15AF394C" w:rsidR="00525B80" w:rsidRPr="00BF4929" w:rsidRDefault="00525B80" w:rsidP="00376FDB">
      <w:pPr>
        <w:pStyle w:val="Odstavecseseznamem"/>
        <w:numPr>
          <w:ilvl w:val="0"/>
          <w:numId w:val="20"/>
        </w:numPr>
        <w:spacing w:after="160"/>
        <w:ind w:left="714" w:hanging="357"/>
        <w:contextualSpacing/>
        <w:jc w:val="both"/>
        <w:rPr>
          <w:rFonts w:ascii="Times New Roman" w:hAnsi="Times New Roman" w:cs="Times New Roman"/>
          <w:color w:val="425254" w:themeColor="text1"/>
          <w:sz w:val="24"/>
          <w:szCs w:val="24"/>
          <w:lang w:val="en-GB"/>
        </w:rPr>
      </w:pPr>
      <w:r w:rsidRPr="00BF4929">
        <w:rPr>
          <w:rFonts w:ascii="Times New Roman" w:hAnsi="Times New Roman" w:cs="Times New Roman"/>
          <w:color w:val="425254" w:themeColor="text1"/>
          <w:sz w:val="24"/>
          <w:szCs w:val="24"/>
          <w:lang w:val="en-GB"/>
        </w:rPr>
        <w:t>Conversely, interest in independent hotels fell from 40% to 24%.</w:t>
      </w:r>
    </w:p>
    <w:p w14:paraId="3696B4E0" w14:textId="722CBD04" w:rsidR="00525B80" w:rsidRPr="00BF4929" w:rsidRDefault="00525B80" w:rsidP="00AE0F93">
      <w:pPr>
        <w:pStyle w:val="Odstavecseseznamem"/>
        <w:numPr>
          <w:ilvl w:val="0"/>
          <w:numId w:val="20"/>
        </w:numPr>
        <w:spacing w:after="160"/>
        <w:ind w:left="714" w:hanging="357"/>
        <w:contextualSpacing/>
        <w:rPr>
          <w:rFonts w:ascii="Times New Roman" w:hAnsi="Times New Roman" w:cs="Times New Roman"/>
          <w:color w:val="425254" w:themeColor="text1"/>
          <w:sz w:val="24"/>
          <w:szCs w:val="24"/>
          <w:lang w:val="en-GB"/>
        </w:rPr>
      </w:pPr>
      <w:r w:rsidRPr="00BF4929">
        <w:rPr>
          <w:rFonts w:ascii="Times New Roman" w:hAnsi="Times New Roman" w:cs="Times New Roman"/>
          <w:color w:val="425254" w:themeColor="text1"/>
          <w:sz w:val="24"/>
          <w:szCs w:val="24"/>
          <w:lang w:val="en-GB"/>
        </w:rPr>
        <w:lastRenderedPageBreak/>
        <w:t>Soft brand affiliations with international brands (24%) are gaining in popularity, combining the</w:t>
      </w:r>
      <w:r w:rsidR="00AE0F93">
        <w:rPr>
          <w:rFonts w:ascii="Times New Roman" w:hAnsi="Times New Roman" w:cs="Times New Roman"/>
          <w:color w:val="425254" w:themeColor="text1"/>
          <w:sz w:val="24"/>
          <w:szCs w:val="24"/>
          <w:lang w:val="en-GB"/>
        </w:rPr>
        <w:t> </w:t>
      </w:r>
      <w:r w:rsidRPr="00BF4929">
        <w:rPr>
          <w:rFonts w:ascii="Times New Roman" w:hAnsi="Times New Roman" w:cs="Times New Roman"/>
          <w:color w:val="425254" w:themeColor="text1"/>
          <w:sz w:val="24"/>
          <w:szCs w:val="24"/>
          <w:lang w:val="en-GB"/>
        </w:rPr>
        <w:t>distribution power and loyalty programmes of the large hotel chains with the preservation of</w:t>
      </w:r>
      <w:r w:rsidR="00AE0F93">
        <w:rPr>
          <w:rFonts w:ascii="Times New Roman" w:hAnsi="Times New Roman" w:cs="Times New Roman"/>
          <w:color w:val="425254" w:themeColor="text1"/>
          <w:sz w:val="24"/>
          <w:szCs w:val="24"/>
          <w:lang w:val="en-GB"/>
        </w:rPr>
        <w:t> </w:t>
      </w:r>
      <w:r w:rsidRPr="00BF4929">
        <w:rPr>
          <w:rFonts w:ascii="Times New Roman" w:hAnsi="Times New Roman" w:cs="Times New Roman"/>
          <w:color w:val="425254" w:themeColor="text1"/>
          <w:sz w:val="24"/>
          <w:szCs w:val="24"/>
          <w:lang w:val="en-GB"/>
        </w:rPr>
        <w:t>an individual hotel's distinctive character and independence.</w:t>
      </w:r>
    </w:p>
    <w:p w14:paraId="4A30A0F9" w14:textId="77777777" w:rsidR="00525B80" w:rsidRPr="00BF4929" w:rsidRDefault="00525B80" w:rsidP="00525B80">
      <w:pPr>
        <w:spacing w:after="160"/>
        <w:jc w:val="both"/>
        <w:rPr>
          <w:color w:val="425254" w:themeColor="text1"/>
          <w:lang w:val="en-GB"/>
        </w:rPr>
      </w:pPr>
      <w:r w:rsidRPr="00BF4929">
        <w:rPr>
          <w:i/>
          <w:iCs/>
          <w:color w:val="425254" w:themeColor="text1"/>
          <w:lang w:val="en-GB"/>
        </w:rPr>
        <w:t>"Whereas investors previously sought flexibility above all in independent hotels, today they see a strong international brand as the key to higher asset value appreciation and stable returns. We are seeing this in the Czech Republic as well, where a number of properties are moving under established international or strong local concepts,"</w:t>
      </w:r>
      <w:r w:rsidRPr="00BF4929">
        <w:rPr>
          <w:color w:val="425254" w:themeColor="text1"/>
          <w:lang w:val="en-GB"/>
        </w:rPr>
        <w:t xml:space="preserve"> explains </w:t>
      </w:r>
      <w:r w:rsidRPr="00BF4929">
        <w:rPr>
          <w:b/>
          <w:bCs/>
          <w:color w:val="425254" w:themeColor="text1"/>
          <w:lang w:val="en-GB"/>
        </w:rPr>
        <w:t>Jakub Stanislav</w:t>
      </w:r>
      <w:r w:rsidRPr="00BF4929">
        <w:rPr>
          <w:color w:val="425254" w:themeColor="text1"/>
          <w:lang w:val="en-GB"/>
        </w:rPr>
        <w:t>.</w:t>
      </w:r>
    </w:p>
    <w:p w14:paraId="7282524F" w14:textId="77777777" w:rsidR="00525B80" w:rsidRPr="00BF4929" w:rsidRDefault="00525B80" w:rsidP="00376FDB">
      <w:pPr>
        <w:spacing w:after="160"/>
        <w:contextualSpacing/>
        <w:jc w:val="both"/>
        <w:rPr>
          <w:b/>
          <w:bCs/>
          <w:color w:val="425254" w:themeColor="text1"/>
          <w:lang w:val="en-GB"/>
        </w:rPr>
      </w:pPr>
      <w:r w:rsidRPr="00BF4929">
        <w:rPr>
          <w:b/>
          <w:bCs/>
          <w:color w:val="425254" w:themeColor="text1"/>
          <w:lang w:val="en-GB"/>
        </w:rPr>
        <w:t>Willingness to pay a premium for prime assets and a shift in risk perception</w:t>
      </w:r>
    </w:p>
    <w:p w14:paraId="6C9C94B4" w14:textId="51079220" w:rsidR="00525B80" w:rsidRDefault="00525B80" w:rsidP="00376FDB">
      <w:pPr>
        <w:spacing w:after="160"/>
        <w:contextualSpacing/>
        <w:jc w:val="both"/>
        <w:rPr>
          <w:color w:val="425254" w:themeColor="text1"/>
          <w:lang w:val="en-GB"/>
        </w:rPr>
      </w:pPr>
      <w:r w:rsidRPr="00BF4929">
        <w:rPr>
          <w:color w:val="425254" w:themeColor="text1"/>
          <w:lang w:val="en-GB"/>
        </w:rPr>
        <w:t>Hotels rank among the most resilient real estate segments in terms of pricing, too. Almost half of investors (48%) do not expect any discount to the asking price when acquiring assets, and around 28% are even prepared to bid above the original valuation. Value-add strategies focused on the repositioning and</w:t>
      </w:r>
      <w:r w:rsidR="00BB3D90">
        <w:rPr>
          <w:color w:val="425254" w:themeColor="text1"/>
          <w:lang w:val="en-GB"/>
        </w:rPr>
        <w:t> </w:t>
      </w:r>
      <w:r w:rsidRPr="00BF4929">
        <w:rPr>
          <w:color w:val="425254" w:themeColor="text1"/>
          <w:lang w:val="en-GB"/>
        </w:rPr>
        <w:t>refurbishment of existing properties remain the most sought-after (53%), while interest in bolder strategies targeting high returns at a higher level of risk has strengthened markedly (up from 15% to 25%).</w:t>
      </w:r>
    </w:p>
    <w:p w14:paraId="0D6FF035" w14:textId="77777777" w:rsidR="004360C2" w:rsidRPr="00BF4929" w:rsidRDefault="004360C2" w:rsidP="00376FDB">
      <w:pPr>
        <w:spacing w:after="160"/>
        <w:contextualSpacing/>
        <w:jc w:val="both"/>
        <w:rPr>
          <w:color w:val="425254" w:themeColor="text1"/>
          <w:lang w:val="en-GB"/>
        </w:rPr>
      </w:pPr>
    </w:p>
    <w:p w14:paraId="32C7EE12" w14:textId="31850821" w:rsidR="00525B80" w:rsidRPr="00BF4929" w:rsidRDefault="00525B80" w:rsidP="00525B80">
      <w:pPr>
        <w:spacing w:after="160"/>
        <w:jc w:val="both"/>
        <w:rPr>
          <w:color w:val="425254" w:themeColor="text1"/>
          <w:lang w:val="en-GB"/>
        </w:rPr>
      </w:pPr>
      <w:r w:rsidRPr="00BF4929">
        <w:rPr>
          <w:color w:val="425254" w:themeColor="text1"/>
          <w:lang w:val="en-GB"/>
        </w:rPr>
        <w:t>The ranking of the main concerns among hotel real estate market players has also changed. Whereas in previous years the most frequent worries related to the availability and cost of bank financing, in 2026 conditions on the debt markets have stabilised. Rising operating and capital expenditure associated with</w:t>
      </w:r>
      <w:r w:rsidR="00BB3D90">
        <w:rPr>
          <w:color w:val="425254" w:themeColor="text1"/>
          <w:lang w:val="en-GB"/>
        </w:rPr>
        <w:t> </w:t>
      </w:r>
      <w:r w:rsidRPr="00BF4929">
        <w:rPr>
          <w:color w:val="425254" w:themeColor="text1"/>
          <w:lang w:val="en-GB"/>
        </w:rPr>
        <w:t>refurbishments and pressure for energy efficiency have come to the fore.</w:t>
      </w:r>
    </w:p>
    <w:p w14:paraId="4670607E" w14:textId="77777777" w:rsidR="00525B80" w:rsidRPr="00BF4929" w:rsidRDefault="00525B80" w:rsidP="00376FDB">
      <w:pPr>
        <w:spacing w:after="160"/>
        <w:contextualSpacing/>
        <w:jc w:val="both"/>
        <w:rPr>
          <w:b/>
          <w:bCs/>
          <w:color w:val="425254" w:themeColor="text1"/>
          <w:lang w:val="en-GB"/>
        </w:rPr>
      </w:pPr>
      <w:r w:rsidRPr="00BF4929">
        <w:rPr>
          <w:b/>
          <w:bCs/>
          <w:color w:val="425254" w:themeColor="text1"/>
          <w:lang w:val="en-GB"/>
        </w:rPr>
        <w:t>Sustainability and modernisation: ESG as a value driver</w:t>
      </w:r>
    </w:p>
    <w:p w14:paraId="119F7B2A" w14:textId="2928FDA1" w:rsidR="00525B80" w:rsidRPr="00BF4929" w:rsidRDefault="00525B80" w:rsidP="00376FDB">
      <w:pPr>
        <w:spacing w:after="160"/>
        <w:contextualSpacing/>
        <w:jc w:val="both"/>
        <w:rPr>
          <w:color w:val="425254" w:themeColor="text1"/>
          <w:lang w:val="en-GB"/>
        </w:rPr>
      </w:pPr>
      <w:r w:rsidRPr="00BF4929">
        <w:rPr>
          <w:color w:val="425254" w:themeColor="text1"/>
          <w:lang w:val="en-GB"/>
        </w:rPr>
        <w:t>When it comes to sustainability, investors are taking a rational and proactive approach. Rather than removing older buildings from their investment scope, they are focusing on refurbishing them and</w:t>
      </w:r>
      <w:r w:rsidR="00BB3D90">
        <w:rPr>
          <w:color w:val="425254" w:themeColor="text1"/>
          <w:lang w:val="en-GB"/>
        </w:rPr>
        <w:t> </w:t>
      </w:r>
      <w:r w:rsidRPr="00BF4929">
        <w:rPr>
          <w:color w:val="425254" w:themeColor="text1"/>
          <w:lang w:val="en-GB"/>
        </w:rPr>
        <w:t>improving their energy efficiency (36% of investors favour retrofitting, while a further 30% invest with the aim of improving ESG parameters). Only 7% of respondents would not invest in a property with</w:t>
      </w:r>
      <w:r w:rsidR="00BB3D90">
        <w:rPr>
          <w:color w:val="425254" w:themeColor="text1"/>
          <w:lang w:val="en-GB"/>
        </w:rPr>
        <w:t> </w:t>
      </w:r>
      <w:r w:rsidRPr="00BF4929">
        <w:rPr>
          <w:color w:val="425254" w:themeColor="text1"/>
          <w:lang w:val="en-GB"/>
        </w:rPr>
        <w:t>a</w:t>
      </w:r>
      <w:r w:rsidR="00BB3D90">
        <w:rPr>
          <w:color w:val="425254" w:themeColor="text1"/>
          <w:lang w:val="en-GB"/>
        </w:rPr>
        <w:t> </w:t>
      </w:r>
      <w:r w:rsidRPr="00BF4929">
        <w:rPr>
          <w:color w:val="425254" w:themeColor="text1"/>
          <w:lang w:val="en-GB"/>
        </w:rPr>
        <w:t>weaker sustainability profile at all. Green certifications (such as Green Key, BREEAM or LEED) are thus becoming a common standard in the hotel segment, directly influencing both a property's value and its appeal to guests.</w:t>
      </w:r>
    </w:p>
    <w:p w14:paraId="3C744B71" w14:textId="77777777" w:rsidR="00376FDB" w:rsidRPr="00BF4929" w:rsidRDefault="00376FDB" w:rsidP="00376FDB">
      <w:pPr>
        <w:spacing w:after="160"/>
        <w:contextualSpacing/>
        <w:jc w:val="both"/>
        <w:rPr>
          <w:color w:val="425254" w:themeColor="text1"/>
          <w:lang w:val="en-GB"/>
        </w:rPr>
      </w:pPr>
    </w:p>
    <w:p w14:paraId="1F0E5156" w14:textId="77777777" w:rsidR="00525B80" w:rsidRPr="00BF4929" w:rsidRDefault="00525B80" w:rsidP="00376FDB">
      <w:pPr>
        <w:spacing w:after="160"/>
        <w:contextualSpacing/>
        <w:jc w:val="both"/>
        <w:rPr>
          <w:b/>
          <w:bCs/>
          <w:color w:val="425254" w:themeColor="text1"/>
          <w:lang w:val="en-GB"/>
        </w:rPr>
      </w:pPr>
      <w:r w:rsidRPr="00BF4929">
        <w:rPr>
          <w:b/>
          <w:bCs/>
          <w:color w:val="425254" w:themeColor="text1"/>
          <w:lang w:val="en-GB"/>
        </w:rPr>
        <w:t>Strong transaction activity in the Czech Republic</w:t>
      </w:r>
    </w:p>
    <w:p w14:paraId="26F2AB47" w14:textId="77777777" w:rsidR="00525B80" w:rsidRPr="00BF4929" w:rsidRDefault="00525B80" w:rsidP="00376FDB">
      <w:pPr>
        <w:spacing w:after="160"/>
        <w:contextualSpacing/>
        <w:jc w:val="both"/>
        <w:rPr>
          <w:color w:val="425254" w:themeColor="text1"/>
          <w:lang w:val="en-GB"/>
        </w:rPr>
      </w:pPr>
      <w:r w:rsidRPr="00BF4929">
        <w:rPr>
          <w:color w:val="425254" w:themeColor="text1"/>
          <w:lang w:val="en-GB"/>
        </w:rPr>
        <w:t>Investors' healthy appetite is also confirmed by developments on the Czech market this year. The single most significant transaction was the sale of the Prague Marriott Hotel and Millennium Plaza complex, brokered by CBRE. The mixed-use complex in the heart of Prague, comprising 416 hotel rooms, office and retail space, conference facilities and four restaurants, represents the largest single-hotel-asset transaction in Central and Eastern Europe in 2026 and one of the largest in Europe overall. Alongside this deal, other notable transactions included the sale of the prestigious five-star Augustine hotel in Malá Strana, acquired at the beginning of the year by Kempinski Hotels with plans for a rebranding. Another major acquisition was the sale of the Vienna House Andel's Prague — also advised on by CBRE — which moved into the portfolio of the Cimex investment group and now operates under the OREA Hotel Andel's Praha brand.</w:t>
      </w:r>
    </w:p>
    <w:p w14:paraId="3E26BFEC" w14:textId="77777777" w:rsidR="00376FDB" w:rsidRPr="00BF4929" w:rsidRDefault="00376FDB" w:rsidP="00376FDB">
      <w:pPr>
        <w:spacing w:after="160"/>
        <w:contextualSpacing/>
        <w:jc w:val="both"/>
        <w:rPr>
          <w:color w:val="425254" w:themeColor="text1"/>
          <w:lang w:val="en-GB"/>
        </w:rPr>
      </w:pPr>
    </w:p>
    <w:p w14:paraId="408D00D4" w14:textId="77777777" w:rsidR="00525B80" w:rsidRPr="00BF4929" w:rsidRDefault="00525B80" w:rsidP="00525B80">
      <w:pPr>
        <w:spacing w:after="160"/>
        <w:jc w:val="both"/>
        <w:rPr>
          <w:color w:val="425254" w:themeColor="text1"/>
          <w:lang w:val="en-GB"/>
        </w:rPr>
      </w:pPr>
      <w:r w:rsidRPr="00BF4929">
        <w:rPr>
          <w:i/>
          <w:iCs/>
          <w:color w:val="425254" w:themeColor="text1"/>
          <w:lang w:val="en-GB"/>
        </w:rPr>
        <w:t>"The Czech hotel market is going through an exceptionally dynamic period. The combination of rising visitor numbers, strong operating results and limited new development in central Prague is creating excellent conditions for further capital appreciation. Even by European standards, Prague is proving that it belongs among the most lucrative and most stable hotel markets,"</w:t>
      </w:r>
      <w:r w:rsidRPr="00BF4929">
        <w:rPr>
          <w:color w:val="425254" w:themeColor="text1"/>
          <w:lang w:val="en-GB"/>
        </w:rPr>
        <w:t xml:space="preserve"> concludes </w:t>
      </w:r>
      <w:r w:rsidRPr="00BF4929">
        <w:rPr>
          <w:b/>
          <w:bCs/>
          <w:color w:val="425254" w:themeColor="text1"/>
          <w:lang w:val="en-GB"/>
        </w:rPr>
        <w:t>Jakub Stanislav</w:t>
      </w:r>
      <w:r w:rsidRPr="00BF4929">
        <w:rPr>
          <w:color w:val="425254" w:themeColor="text1"/>
          <w:lang w:val="en-GB"/>
        </w:rPr>
        <w:t>.</w:t>
      </w:r>
    </w:p>
    <w:p w14:paraId="6271FEE2" w14:textId="77777777" w:rsidR="00525B80" w:rsidRPr="00BF4929" w:rsidRDefault="00525B80" w:rsidP="00376FDB">
      <w:pPr>
        <w:spacing w:after="160"/>
        <w:contextualSpacing/>
        <w:jc w:val="both"/>
        <w:rPr>
          <w:color w:val="425254" w:themeColor="text1"/>
          <w:u w:val="single"/>
          <w:lang w:val="en-GB"/>
        </w:rPr>
      </w:pPr>
      <w:r w:rsidRPr="00BF4929">
        <w:rPr>
          <w:color w:val="425254" w:themeColor="text1"/>
          <w:u w:val="single"/>
          <w:lang w:val="en-GB"/>
        </w:rPr>
        <w:lastRenderedPageBreak/>
        <w:t>More about the survey</w:t>
      </w:r>
    </w:p>
    <w:p w14:paraId="281ABB0A" w14:textId="4796CD7C" w:rsidR="00525B80" w:rsidRPr="00BF4929" w:rsidRDefault="00525B80" w:rsidP="00376FDB">
      <w:pPr>
        <w:spacing w:after="160"/>
        <w:contextualSpacing/>
        <w:jc w:val="both"/>
        <w:rPr>
          <w:color w:val="425254" w:themeColor="text1"/>
          <w:lang w:val="en-GB"/>
        </w:rPr>
      </w:pPr>
      <w:r w:rsidRPr="00BF4929">
        <w:rPr>
          <w:color w:val="425254" w:themeColor="text1"/>
          <w:lang w:val="en-GB"/>
        </w:rPr>
        <w:t>The CBRE European Hotel Investor Intentions Survey 2026 was conducted between February and March 2026 among more than 70 leading European institutional and private investors, investment managers and</w:t>
      </w:r>
      <w:r w:rsidR="00BB3D90">
        <w:rPr>
          <w:color w:val="425254" w:themeColor="text1"/>
          <w:lang w:val="en-GB"/>
        </w:rPr>
        <w:t> </w:t>
      </w:r>
      <w:r w:rsidRPr="00BF4929">
        <w:rPr>
          <w:color w:val="425254" w:themeColor="text1"/>
          <w:lang w:val="en-GB"/>
        </w:rPr>
        <w:t>property operators with total assets under management in the tens of billions of euros.</w:t>
      </w:r>
    </w:p>
    <w:tbl>
      <w:tblPr>
        <w:tblW w:w="90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5"/>
        <w:gridCol w:w="4515"/>
      </w:tblGrid>
      <w:tr w:rsidR="00674979" w:rsidRPr="00A50AEC" w14:paraId="7E63B89D" w14:textId="77777777" w:rsidTr="00354C68">
        <w:trPr>
          <w:trHeight w:val="285"/>
        </w:trPr>
        <w:tc>
          <w:tcPr>
            <w:tcW w:w="4515" w:type="dxa"/>
            <w:tcBorders>
              <w:top w:val="nil"/>
              <w:left w:val="nil"/>
              <w:bottom w:val="nil"/>
              <w:right w:val="nil"/>
            </w:tcBorders>
            <w:shd w:val="clear" w:color="auto" w:fill="FFFFFF"/>
            <w:hideMark/>
          </w:tcPr>
          <w:p w14:paraId="6BD3FFA8" w14:textId="41206427" w:rsidR="00674979" w:rsidRPr="00A50AEC" w:rsidRDefault="00674979" w:rsidP="00674979">
            <w:pPr>
              <w:pStyle w:val="paragraph"/>
              <w:jc w:val="both"/>
              <w:rPr>
                <w:color w:val="425254"/>
              </w:rPr>
            </w:pPr>
          </w:p>
          <w:p w14:paraId="3F03C0B9" w14:textId="77777777" w:rsidR="00674979" w:rsidRPr="00A50AEC" w:rsidRDefault="00674979" w:rsidP="00674979">
            <w:pPr>
              <w:pStyle w:val="paragraph"/>
              <w:jc w:val="both"/>
              <w:rPr>
                <w:color w:val="425254"/>
              </w:rPr>
            </w:pPr>
            <w:r w:rsidRPr="00A50AEC">
              <w:rPr>
                <w:b/>
                <w:bCs/>
                <w:color w:val="425254"/>
                <w:lang w:val="en-GB"/>
              </w:rPr>
              <w:t>For more information please contact:</w:t>
            </w:r>
            <w:r w:rsidRPr="00A50AEC">
              <w:rPr>
                <w:color w:val="425254"/>
                <w:lang w:val="en-GB"/>
              </w:rPr>
              <w:t>   </w:t>
            </w:r>
            <w:r w:rsidRPr="00A50AEC">
              <w:rPr>
                <w:color w:val="425254"/>
              </w:rPr>
              <w:t>  </w:t>
            </w:r>
          </w:p>
        </w:tc>
        <w:tc>
          <w:tcPr>
            <w:tcW w:w="4515" w:type="dxa"/>
            <w:tcBorders>
              <w:top w:val="nil"/>
              <w:left w:val="nil"/>
              <w:bottom w:val="nil"/>
              <w:right w:val="nil"/>
            </w:tcBorders>
            <w:shd w:val="clear" w:color="auto" w:fill="FFFFFF"/>
            <w:hideMark/>
          </w:tcPr>
          <w:p w14:paraId="0E055A3E" w14:textId="77777777" w:rsidR="00674979" w:rsidRPr="00A50AEC" w:rsidRDefault="00674979" w:rsidP="00674979">
            <w:pPr>
              <w:pStyle w:val="paragraph"/>
              <w:jc w:val="both"/>
              <w:rPr>
                <w:color w:val="425254"/>
              </w:rPr>
            </w:pPr>
            <w:r w:rsidRPr="00A50AEC">
              <w:rPr>
                <w:color w:val="425254"/>
                <w:lang w:val="en-GB"/>
              </w:rPr>
              <w:t>   </w:t>
            </w:r>
            <w:r w:rsidRPr="00A50AEC">
              <w:rPr>
                <w:color w:val="425254"/>
              </w:rPr>
              <w:t>  </w:t>
            </w:r>
          </w:p>
        </w:tc>
      </w:tr>
      <w:tr w:rsidR="00674979" w:rsidRPr="00A50AEC" w14:paraId="3AEA92CA" w14:textId="77777777" w:rsidTr="00354C68">
        <w:trPr>
          <w:trHeight w:val="285"/>
        </w:trPr>
        <w:tc>
          <w:tcPr>
            <w:tcW w:w="4515" w:type="dxa"/>
            <w:tcBorders>
              <w:top w:val="nil"/>
              <w:left w:val="nil"/>
              <w:bottom w:val="nil"/>
              <w:right w:val="nil"/>
            </w:tcBorders>
            <w:shd w:val="clear" w:color="auto" w:fill="FFFFFF"/>
            <w:hideMark/>
          </w:tcPr>
          <w:p w14:paraId="52AE52CC" w14:textId="77777777" w:rsidR="00674979" w:rsidRPr="00A50AEC" w:rsidRDefault="00674979" w:rsidP="00674979">
            <w:pPr>
              <w:pStyle w:val="paragraph"/>
              <w:jc w:val="both"/>
              <w:rPr>
                <w:color w:val="425254"/>
              </w:rPr>
            </w:pPr>
            <w:r w:rsidRPr="00A50AEC">
              <w:rPr>
                <w:b/>
                <w:bCs/>
                <w:color w:val="425254"/>
                <w:lang w:val="en-GB"/>
              </w:rPr>
              <w:t>Crest Communications</w:t>
            </w:r>
            <w:r w:rsidRPr="00A50AEC">
              <w:rPr>
                <w:color w:val="425254"/>
                <w:lang w:val="en-GB"/>
              </w:rPr>
              <w:t>  </w:t>
            </w:r>
            <w:r w:rsidRPr="00A50AEC">
              <w:rPr>
                <w:color w:val="425254"/>
              </w:rPr>
              <w:t>  </w:t>
            </w:r>
          </w:p>
        </w:tc>
        <w:tc>
          <w:tcPr>
            <w:tcW w:w="4515" w:type="dxa"/>
            <w:tcBorders>
              <w:top w:val="nil"/>
              <w:left w:val="nil"/>
              <w:bottom w:val="nil"/>
              <w:right w:val="nil"/>
            </w:tcBorders>
            <w:shd w:val="clear" w:color="auto" w:fill="FFFFFF"/>
            <w:hideMark/>
          </w:tcPr>
          <w:p w14:paraId="04AB4E61" w14:textId="77777777" w:rsidR="00674979" w:rsidRPr="00A50AEC" w:rsidRDefault="00674979" w:rsidP="00674979">
            <w:pPr>
              <w:pStyle w:val="paragraph"/>
              <w:jc w:val="both"/>
              <w:rPr>
                <w:color w:val="425254"/>
              </w:rPr>
            </w:pPr>
            <w:r w:rsidRPr="00A50AEC">
              <w:rPr>
                <w:color w:val="425254"/>
                <w:lang w:val="en-GB"/>
              </w:rPr>
              <w:t>   </w:t>
            </w:r>
            <w:r w:rsidRPr="00A50AEC">
              <w:rPr>
                <w:color w:val="425254"/>
              </w:rPr>
              <w:t>  </w:t>
            </w:r>
          </w:p>
        </w:tc>
      </w:tr>
      <w:tr w:rsidR="00674979" w:rsidRPr="00A50AEC" w14:paraId="43826161" w14:textId="77777777" w:rsidTr="00354C68">
        <w:trPr>
          <w:trHeight w:val="285"/>
        </w:trPr>
        <w:tc>
          <w:tcPr>
            <w:tcW w:w="4515" w:type="dxa"/>
            <w:tcBorders>
              <w:top w:val="nil"/>
              <w:left w:val="nil"/>
              <w:bottom w:val="nil"/>
              <w:right w:val="nil"/>
            </w:tcBorders>
            <w:shd w:val="clear" w:color="auto" w:fill="FFFFFF"/>
            <w:hideMark/>
          </w:tcPr>
          <w:p w14:paraId="540E2806" w14:textId="77777777" w:rsidR="00674979" w:rsidRPr="00A50AEC" w:rsidRDefault="00674979" w:rsidP="00674979">
            <w:pPr>
              <w:pStyle w:val="paragraph"/>
              <w:jc w:val="both"/>
              <w:rPr>
                <w:color w:val="425254"/>
              </w:rPr>
            </w:pPr>
            <w:r w:rsidRPr="00A50AEC">
              <w:rPr>
                <w:color w:val="425254"/>
                <w:lang w:val="en-GB"/>
              </w:rPr>
              <w:t>Denisa Kolaříková   </w:t>
            </w:r>
            <w:r w:rsidRPr="00A50AEC">
              <w:rPr>
                <w:color w:val="425254"/>
              </w:rPr>
              <w:t>  </w:t>
            </w:r>
          </w:p>
        </w:tc>
        <w:tc>
          <w:tcPr>
            <w:tcW w:w="4515" w:type="dxa"/>
            <w:tcBorders>
              <w:top w:val="nil"/>
              <w:left w:val="nil"/>
              <w:bottom w:val="nil"/>
              <w:right w:val="nil"/>
            </w:tcBorders>
            <w:shd w:val="clear" w:color="auto" w:fill="FFFFFF"/>
            <w:hideMark/>
          </w:tcPr>
          <w:p w14:paraId="3E224373" w14:textId="77777777" w:rsidR="00674979" w:rsidRPr="00A50AEC" w:rsidRDefault="00674979" w:rsidP="00674979">
            <w:pPr>
              <w:pStyle w:val="paragraph"/>
              <w:jc w:val="both"/>
              <w:rPr>
                <w:color w:val="425254"/>
              </w:rPr>
            </w:pPr>
            <w:r w:rsidRPr="00A50AEC">
              <w:rPr>
                <w:color w:val="425254"/>
                <w:lang w:val="en-GB"/>
              </w:rPr>
              <w:t>Kamila Čadková   </w:t>
            </w:r>
            <w:r w:rsidRPr="00A50AEC">
              <w:rPr>
                <w:color w:val="425254"/>
              </w:rPr>
              <w:t>  </w:t>
            </w:r>
          </w:p>
        </w:tc>
      </w:tr>
      <w:tr w:rsidR="00674979" w:rsidRPr="00A50AEC" w14:paraId="0C17CC59" w14:textId="77777777" w:rsidTr="00354C68">
        <w:trPr>
          <w:trHeight w:val="285"/>
        </w:trPr>
        <w:tc>
          <w:tcPr>
            <w:tcW w:w="4515" w:type="dxa"/>
            <w:tcBorders>
              <w:top w:val="nil"/>
              <w:left w:val="nil"/>
              <w:bottom w:val="nil"/>
              <w:right w:val="nil"/>
            </w:tcBorders>
            <w:shd w:val="clear" w:color="auto" w:fill="FFFFFF"/>
            <w:hideMark/>
          </w:tcPr>
          <w:p w14:paraId="7BDE8E77" w14:textId="77777777" w:rsidR="00674979" w:rsidRPr="00A50AEC" w:rsidRDefault="00674979" w:rsidP="00674979">
            <w:pPr>
              <w:pStyle w:val="paragraph"/>
              <w:jc w:val="both"/>
              <w:rPr>
                <w:color w:val="425254"/>
              </w:rPr>
            </w:pPr>
            <w:r w:rsidRPr="00A50AEC">
              <w:rPr>
                <w:color w:val="425254"/>
                <w:lang w:val="en-GB"/>
              </w:rPr>
              <w:t>Account Manager   </w:t>
            </w:r>
            <w:r w:rsidRPr="00A50AEC">
              <w:rPr>
                <w:color w:val="425254"/>
              </w:rPr>
              <w:t>  </w:t>
            </w:r>
          </w:p>
        </w:tc>
        <w:tc>
          <w:tcPr>
            <w:tcW w:w="4515" w:type="dxa"/>
            <w:tcBorders>
              <w:top w:val="nil"/>
              <w:left w:val="nil"/>
              <w:bottom w:val="nil"/>
              <w:right w:val="nil"/>
            </w:tcBorders>
            <w:shd w:val="clear" w:color="auto" w:fill="FFFFFF"/>
            <w:hideMark/>
          </w:tcPr>
          <w:p w14:paraId="240C6F55" w14:textId="77777777" w:rsidR="00674979" w:rsidRPr="00A50AEC" w:rsidRDefault="00674979" w:rsidP="00674979">
            <w:pPr>
              <w:pStyle w:val="paragraph"/>
              <w:jc w:val="both"/>
              <w:rPr>
                <w:color w:val="425254"/>
              </w:rPr>
            </w:pPr>
            <w:r w:rsidRPr="00A50AEC">
              <w:rPr>
                <w:color w:val="425254"/>
                <w:lang w:val="en-GB"/>
              </w:rPr>
              <w:t>Account Director   </w:t>
            </w:r>
            <w:r w:rsidRPr="00A50AEC">
              <w:rPr>
                <w:color w:val="425254"/>
              </w:rPr>
              <w:t>  </w:t>
            </w:r>
          </w:p>
        </w:tc>
      </w:tr>
      <w:tr w:rsidR="00674979" w:rsidRPr="00A50AEC" w14:paraId="7709BCB5" w14:textId="77777777" w:rsidTr="00354C68">
        <w:trPr>
          <w:trHeight w:val="285"/>
        </w:trPr>
        <w:tc>
          <w:tcPr>
            <w:tcW w:w="4515" w:type="dxa"/>
            <w:tcBorders>
              <w:top w:val="nil"/>
              <w:left w:val="nil"/>
              <w:bottom w:val="nil"/>
              <w:right w:val="nil"/>
            </w:tcBorders>
            <w:shd w:val="clear" w:color="auto" w:fill="FFFFFF"/>
            <w:hideMark/>
          </w:tcPr>
          <w:p w14:paraId="08073C37" w14:textId="77777777" w:rsidR="00674979" w:rsidRPr="00A50AEC" w:rsidRDefault="00674979" w:rsidP="00674979">
            <w:pPr>
              <w:pStyle w:val="paragraph"/>
              <w:jc w:val="both"/>
              <w:rPr>
                <w:color w:val="425254"/>
              </w:rPr>
            </w:pPr>
            <w:r w:rsidRPr="00A50AEC">
              <w:rPr>
                <w:color w:val="425254"/>
                <w:lang w:val="en-GB"/>
              </w:rPr>
              <w:t>GSM: +420 731 613 606       </w:t>
            </w:r>
            <w:r w:rsidRPr="00A50AEC">
              <w:rPr>
                <w:color w:val="425254"/>
              </w:rPr>
              <w:t>  </w:t>
            </w:r>
          </w:p>
        </w:tc>
        <w:tc>
          <w:tcPr>
            <w:tcW w:w="4515" w:type="dxa"/>
            <w:tcBorders>
              <w:top w:val="nil"/>
              <w:left w:val="nil"/>
              <w:bottom w:val="nil"/>
              <w:right w:val="nil"/>
            </w:tcBorders>
            <w:shd w:val="clear" w:color="auto" w:fill="FFFFFF"/>
            <w:hideMark/>
          </w:tcPr>
          <w:p w14:paraId="189DC135" w14:textId="77777777" w:rsidR="00674979" w:rsidRPr="00A50AEC" w:rsidRDefault="00674979" w:rsidP="00674979">
            <w:pPr>
              <w:pStyle w:val="paragraph"/>
              <w:jc w:val="both"/>
              <w:rPr>
                <w:color w:val="425254"/>
              </w:rPr>
            </w:pPr>
            <w:r w:rsidRPr="00A50AEC">
              <w:rPr>
                <w:color w:val="425254"/>
                <w:lang w:val="en-GB"/>
              </w:rPr>
              <w:t>GSM: +420 731 613 609   </w:t>
            </w:r>
            <w:r w:rsidRPr="00A50AEC">
              <w:rPr>
                <w:color w:val="425254"/>
              </w:rPr>
              <w:t>  </w:t>
            </w:r>
          </w:p>
        </w:tc>
      </w:tr>
      <w:tr w:rsidR="00674979" w:rsidRPr="00A50AEC" w14:paraId="5CE2FE89" w14:textId="77777777" w:rsidTr="00354C68">
        <w:trPr>
          <w:trHeight w:val="285"/>
        </w:trPr>
        <w:tc>
          <w:tcPr>
            <w:tcW w:w="4515" w:type="dxa"/>
            <w:tcBorders>
              <w:top w:val="nil"/>
              <w:left w:val="nil"/>
              <w:bottom w:val="nil"/>
              <w:right w:val="nil"/>
            </w:tcBorders>
            <w:shd w:val="clear" w:color="auto" w:fill="FFFFFF"/>
            <w:hideMark/>
          </w:tcPr>
          <w:p w14:paraId="4B995D45" w14:textId="77777777" w:rsidR="00674979" w:rsidRPr="00A50AEC" w:rsidRDefault="00674979" w:rsidP="00674979">
            <w:pPr>
              <w:pStyle w:val="paragraph"/>
              <w:jc w:val="both"/>
              <w:rPr>
                <w:color w:val="425254"/>
              </w:rPr>
            </w:pPr>
            <w:hyperlink r:id="rId11" w:tgtFrame="_blank" w:history="1">
              <w:r w:rsidRPr="00A50AEC">
                <w:rPr>
                  <w:rStyle w:val="Hypertextovodkaz"/>
                  <w:lang w:val="en-GB"/>
                </w:rPr>
                <w:t>denisa.kolarikova@crestcom.cz</w:t>
              </w:r>
            </w:hyperlink>
            <w:r w:rsidRPr="00A50AEC">
              <w:rPr>
                <w:color w:val="425254"/>
                <w:lang w:val="en-GB"/>
              </w:rPr>
              <w:t>   </w:t>
            </w:r>
            <w:r w:rsidRPr="00A50AEC">
              <w:rPr>
                <w:color w:val="425254"/>
              </w:rPr>
              <w:t>  </w:t>
            </w:r>
          </w:p>
        </w:tc>
        <w:tc>
          <w:tcPr>
            <w:tcW w:w="4515" w:type="dxa"/>
            <w:tcBorders>
              <w:top w:val="nil"/>
              <w:left w:val="nil"/>
              <w:bottom w:val="nil"/>
              <w:right w:val="nil"/>
            </w:tcBorders>
            <w:shd w:val="clear" w:color="auto" w:fill="FFFFFF"/>
            <w:hideMark/>
          </w:tcPr>
          <w:p w14:paraId="559C0119" w14:textId="77777777" w:rsidR="00674979" w:rsidRPr="00A50AEC" w:rsidRDefault="00674979" w:rsidP="00674979">
            <w:pPr>
              <w:pStyle w:val="paragraph"/>
              <w:jc w:val="both"/>
              <w:rPr>
                <w:color w:val="425254"/>
              </w:rPr>
            </w:pPr>
            <w:hyperlink r:id="rId12" w:tgtFrame="_blank" w:history="1">
              <w:r w:rsidRPr="00A50AEC">
                <w:rPr>
                  <w:rStyle w:val="Hypertextovodkaz"/>
                  <w:lang w:val="en-GB"/>
                </w:rPr>
                <w:t>kamila.cadkova@crestcom.cz</w:t>
              </w:r>
            </w:hyperlink>
            <w:r w:rsidRPr="00A50AEC">
              <w:rPr>
                <w:color w:val="425254"/>
                <w:lang w:val="en-GB"/>
              </w:rPr>
              <w:t>   </w:t>
            </w:r>
            <w:r w:rsidRPr="00A50AEC">
              <w:rPr>
                <w:color w:val="425254"/>
              </w:rPr>
              <w:t>  </w:t>
            </w:r>
          </w:p>
        </w:tc>
      </w:tr>
      <w:tr w:rsidR="00674979" w:rsidRPr="00A50AEC" w14:paraId="33887087" w14:textId="77777777" w:rsidTr="00354C68">
        <w:trPr>
          <w:trHeight w:val="285"/>
        </w:trPr>
        <w:tc>
          <w:tcPr>
            <w:tcW w:w="4515" w:type="dxa"/>
            <w:tcBorders>
              <w:top w:val="nil"/>
              <w:left w:val="nil"/>
              <w:bottom w:val="nil"/>
              <w:right w:val="nil"/>
            </w:tcBorders>
            <w:shd w:val="clear" w:color="auto" w:fill="FFFFFF"/>
            <w:hideMark/>
          </w:tcPr>
          <w:p w14:paraId="0B4BC18A" w14:textId="77777777" w:rsidR="00674979" w:rsidRPr="00A50AEC" w:rsidRDefault="00674979" w:rsidP="00674979">
            <w:pPr>
              <w:pStyle w:val="paragraph"/>
              <w:jc w:val="both"/>
              <w:rPr>
                <w:color w:val="425254"/>
              </w:rPr>
            </w:pPr>
            <w:hyperlink r:id="rId13" w:tgtFrame="_blank" w:history="1">
              <w:r w:rsidRPr="00A50AEC">
                <w:rPr>
                  <w:rStyle w:val="Hypertextovodkaz"/>
                  <w:lang w:val="en-GB"/>
                </w:rPr>
                <w:t>www.crestcom.cz</w:t>
              </w:r>
            </w:hyperlink>
            <w:r w:rsidRPr="00A50AEC">
              <w:rPr>
                <w:color w:val="425254"/>
                <w:lang w:val="en-GB"/>
              </w:rPr>
              <w:t>   </w:t>
            </w:r>
            <w:r w:rsidRPr="00A50AEC">
              <w:rPr>
                <w:color w:val="425254"/>
              </w:rPr>
              <w:t>  </w:t>
            </w:r>
          </w:p>
        </w:tc>
        <w:tc>
          <w:tcPr>
            <w:tcW w:w="4515" w:type="dxa"/>
            <w:tcBorders>
              <w:top w:val="nil"/>
              <w:left w:val="nil"/>
              <w:bottom w:val="nil"/>
              <w:right w:val="nil"/>
            </w:tcBorders>
            <w:shd w:val="clear" w:color="auto" w:fill="FFFFFF"/>
            <w:hideMark/>
          </w:tcPr>
          <w:p w14:paraId="744C7098" w14:textId="77777777" w:rsidR="00674979" w:rsidRPr="00A50AEC" w:rsidRDefault="00674979" w:rsidP="00674979">
            <w:pPr>
              <w:pStyle w:val="paragraph"/>
              <w:jc w:val="both"/>
              <w:rPr>
                <w:color w:val="425254"/>
              </w:rPr>
            </w:pPr>
            <w:r w:rsidRPr="00A50AEC">
              <w:rPr>
                <w:color w:val="425254"/>
                <w:lang w:val="en-GB"/>
              </w:rPr>
              <w:t>   </w:t>
            </w:r>
            <w:r w:rsidRPr="00A50AEC">
              <w:rPr>
                <w:color w:val="425254"/>
              </w:rPr>
              <w:t>  </w:t>
            </w:r>
          </w:p>
        </w:tc>
      </w:tr>
    </w:tbl>
    <w:p w14:paraId="206DDE9A" w14:textId="78E1EA27" w:rsidR="00674979" w:rsidRPr="00A50AEC" w:rsidRDefault="00674979" w:rsidP="00354C68">
      <w:pPr>
        <w:pStyle w:val="paragraph"/>
        <w:contextualSpacing/>
        <w:jc w:val="both"/>
        <w:rPr>
          <w:color w:val="425254"/>
        </w:rPr>
      </w:pPr>
      <w:r w:rsidRPr="00A50AEC">
        <w:rPr>
          <w:b/>
          <w:bCs/>
          <w:color w:val="425254"/>
          <w:lang w:val="en-GB"/>
        </w:rPr>
        <w:t>CBRE </w:t>
      </w:r>
      <w:r w:rsidRPr="00A50AEC">
        <w:rPr>
          <w:color w:val="425254"/>
          <w:lang w:val="en-GB"/>
        </w:rPr>
        <w:t>    </w:t>
      </w:r>
      <w:r w:rsidRPr="00A50AEC">
        <w:rPr>
          <w:color w:val="425254"/>
        </w:rPr>
        <w:t>  </w:t>
      </w:r>
    </w:p>
    <w:p w14:paraId="320187F2" w14:textId="77777777" w:rsidR="00674979" w:rsidRPr="00A50AEC" w:rsidRDefault="00674979" w:rsidP="00354C68">
      <w:pPr>
        <w:pStyle w:val="paragraph"/>
        <w:contextualSpacing/>
        <w:jc w:val="both"/>
        <w:rPr>
          <w:color w:val="425254"/>
        </w:rPr>
      </w:pPr>
      <w:r w:rsidRPr="00A50AEC">
        <w:rPr>
          <w:color w:val="425254"/>
          <w:lang w:val="en-GB"/>
        </w:rPr>
        <w:t>Ivana Procházková, Communication Specialist, +420 771 288 023, </w:t>
      </w:r>
      <w:hyperlink r:id="rId14" w:tgtFrame="_blank" w:history="1">
        <w:r w:rsidRPr="00A50AEC">
          <w:rPr>
            <w:rStyle w:val="Hypertextovodkaz"/>
            <w:lang w:val="en-GB"/>
          </w:rPr>
          <w:t>ivana.prochazkova@cbre.com</w:t>
        </w:r>
      </w:hyperlink>
      <w:r w:rsidRPr="00A50AEC">
        <w:rPr>
          <w:color w:val="425254"/>
          <w:lang w:val="en-GB"/>
        </w:rPr>
        <w:t>      </w:t>
      </w:r>
      <w:r w:rsidRPr="00A50AEC">
        <w:rPr>
          <w:color w:val="425254"/>
        </w:rPr>
        <w:t>  </w:t>
      </w:r>
    </w:p>
    <w:p w14:paraId="4DEB6610" w14:textId="77777777" w:rsidR="00354C68" w:rsidRPr="00A50AEC" w:rsidRDefault="00674979" w:rsidP="00354C68">
      <w:pPr>
        <w:pStyle w:val="paragraph"/>
        <w:contextualSpacing/>
        <w:jc w:val="both"/>
        <w:rPr>
          <w:color w:val="425254"/>
        </w:rPr>
      </w:pPr>
      <w:r w:rsidRPr="00A50AEC">
        <w:rPr>
          <w:color w:val="425254"/>
          <w:lang w:val="en-GB"/>
        </w:rPr>
        <w:t>CBRE </w:t>
      </w:r>
      <w:proofErr w:type="spellStart"/>
      <w:r w:rsidRPr="00A50AEC">
        <w:rPr>
          <w:color w:val="425254"/>
          <w:lang w:val="en-GB"/>
        </w:rPr>
        <w:t>Česká</w:t>
      </w:r>
      <w:proofErr w:type="spellEnd"/>
      <w:r w:rsidRPr="00A50AEC">
        <w:rPr>
          <w:color w:val="425254"/>
          <w:lang w:val="en-GB"/>
        </w:rPr>
        <w:t> </w:t>
      </w:r>
      <w:proofErr w:type="spellStart"/>
      <w:r w:rsidRPr="00A50AEC">
        <w:rPr>
          <w:color w:val="425254"/>
          <w:lang w:val="en-GB"/>
        </w:rPr>
        <w:t>republika</w:t>
      </w:r>
      <w:proofErr w:type="spellEnd"/>
      <w:r w:rsidRPr="00A50AEC">
        <w:rPr>
          <w:color w:val="425254"/>
          <w:lang w:val="en-GB"/>
        </w:rPr>
        <w:t> </w:t>
      </w:r>
      <w:hyperlink r:id="rId15" w:tgtFrame="_blank" w:history="1">
        <w:r w:rsidRPr="00A50AEC">
          <w:rPr>
            <w:rStyle w:val="Hypertextovodkaz"/>
            <w:lang w:val="en-GB"/>
          </w:rPr>
          <w:t>Facebook</w:t>
        </w:r>
      </w:hyperlink>
      <w:r w:rsidRPr="00A50AEC">
        <w:rPr>
          <w:color w:val="425254"/>
          <w:lang w:val="en-GB"/>
        </w:rPr>
        <w:t>, </w:t>
      </w:r>
      <w:hyperlink r:id="rId16" w:tgtFrame="_blank" w:history="1">
        <w:r w:rsidRPr="00A50AEC">
          <w:rPr>
            <w:rStyle w:val="Hypertextovodkaz"/>
            <w:lang w:val="en-GB"/>
          </w:rPr>
          <w:t>LinkedIn</w:t>
        </w:r>
      </w:hyperlink>
      <w:r w:rsidRPr="00A50AEC">
        <w:rPr>
          <w:color w:val="425254"/>
          <w:u w:val="single"/>
          <w:lang w:val="en-GB"/>
        </w:rPr>
        <w:t>,</w:t>
      </w:r>
      <w:r w:rsidRPr="00A50AEC">
        <w:rPr>
          <w:color w:val="425254"/>
          <w:lang w:val="en-GB"/>
        </w:rPr>
        <w:t> </w:t>
      </w:r>
      <w:hyperlink r:id="rId17" w:tgtFrame="_blank" w:history="1">
        <w:r w:rsidRPr="00A50AEC">
          <w:rPr>
            <w:rStyle w:val="Hypertextovodkaz"/>
            <w:lang w:val="en-GB"/>
          </w:rPr>
          <w:t>Instagram</w:t>
        </w:r>
      </w:hyperlink>
      <w:r w:rsidRPr="00A50AEC">
        <w:rPr>
          <w:b/>
          <w:bCs/>
          <w:color w:val="425254"/>
          <w:lang w:val="en-GB"/>
        </w:rPr>
        <w:t> </w:t>
      </w:r>
      <w:r w:rsidRPr="00A50AEC">
        <w:rPr>
          <w:color w:val="425254"/>
          <w:lang w:val="en-GB"/>
        </w:rPr>
        <w:t>    </w:t>
      </w:r>
      <w:r w:rsidRPr="00A50AEC">
        <w:rPr>
          <w:color w:val="425254"/>
        </w:rPr>
        <w:t> </w:t>
      </w:r>
    </w:p>
    <w:p w14:paraId="15D487A6" w14:textId="77777777" w:rsidR="00C93620" w:rsidRPr="003B44F1" w:rsidRDefault="00C93620" w:rsidP="00C93620">
      <w:pPr>
        <w:pStyle w:val="Boilerplate"/>
        <w:rPr>
          <w:u w:val="single"/>
        </w:rPr>
      </w:pPr>
      <w:r w:rsidRPr="003B44F1">
        <w:rPr>
          <w:u w:val="single"/>
        </w:rPr>
        <w:t>About</w:t>
      </w:r>
      <w:r>
        <w:rPr>
          <w:u w:val="single"/>
        </w:rPr>
        <w:t xml:space="preserve"> </w:t>
      </w:r>
      <w:r w:rsidRPr="003B44F1">
        <w:rPr>
          <w:u w:val="single"/>
        </w:rPr>
        <w:t>CBRE</w:t>
      </w:r>
      <w:r>
        <w:rPr>
          <w:u w:val="single"/>
        </w:rPr>
        <w:t xml:space="preserve"> </w:t>
      </w:r>
      <w:r w:rsidRPr="003B44F1">
        <w:rPr>
          <w:u w:val="single"/>
        </w:rPr>
        <w:t>Group,</w:t>
      </w:r>
      <w:r>
        <w:rPr>
          <w:u w:val="single"/>
        </w:rPr>
        <w:t xml:space="preserve"> </w:t>
      </w:r>
      <w:r w:rsidRPr="003B44F1">
        <w:rPr>
          <w:u w:val="single"/>
        </w:rPr>
        <w:t>Inc.</w:t>
      </w:r>
    </w:p>
    <w:p w14:paraId="1564BB8E" w14:textId="203D23A7" w:rsidR="00C93620" w:rsidRDefault="00C93620" w:rsidP="00685FE8">
      <w:pPr>
        <w:pStyle w:val="Boilerplate"/>
        <w:jc w:val="both"/>
      </w:pPr>
      <w:r w:rsidRPr="5AD35860">
        <w:rPr>
          <w:color w:val="808080" w:themeColor="background1" w:themeShade="80"/>
        </w:rPr>
        <w:t>CBRE Group, Inc. (NYSE: CBRE), a Fortune 500 and S&amp;P 500 company headquartered in Dallas, is the world’s largest commercial real estate services and investment firm and a premier provider of critical infrastructure services. The</w:t>
      </w:r>
      <w:r w:rsidR="00BB3D90">
        <w:rPr>
          <w:color w:val="808080" w:themeColor="background1" w:themeShade="80"/>
        </w:rPr>
        <w:t> </w:t>
      </w:r>
      <w:r w:rsidRPr="5AD35860">
        <w:rPr>
          <w:color w:val="808080" w:themeColor="background1" w:themeShade="80"/>
        </w:rPr>
        <w:t>company has more than 155,000 employees serving clients in more than 100 countries. CBRE serves clients through four business segments: Advisory (leasing, sales, debt origination, mortgage servicing, valuations); Building Operations &amp; Experience (facilities management, property management, flex space &amp; experience, critical infrastructure); Project Management (program management, project management, cost consulting); Real Estate Investments (investment management, development). Please visit our website at </w:t>
      </w:r>
      <w:hyperlink r:id="rId18">
        <w:r w:rsidRPr="5AD35860">
          <w:rPr>
            <w:rStyle w:val="Hypertextovodkaz"/>
          </w:rPr>
          <w:t>www.cbre.com</w:t>
        </w:r>
      </w:hyperlink>
    </w:p>
    <w:p w14:paraId="25F7285F" w14:textId="77777777" w:rsidR="00C93620" w:rsidRDefault="00C93620" w:rsidP="005B6C4C">
      <w:pPr>
        <w:pStyle w:val="paragraph"/>
        <w:spacing w:before="0" w:beforeAutospacing="0" w:after="0" w:afterAutospacing="0"/>
        <w:jc w:val="both"/>
        <w:textAlignment w:val="baseline"/>
        <w:rPr>
          <w:rStyle w:val="normaltextrun"/>
          <w:color w:val="425254"/>
        </w:rPr>
      </w:pPr>
    </w:p>
    <w:sectPr w:rsidR="00C93620" w:rsidSect="00E01C37">
      <w:headerReference w:type="default" r:id="rId19"/>
      <w:headerReference w:type="first" r:id="rId20"/>
      <w:pgSz w:w="12240" w:h="15840"/>
      <w:pgMar w:top="2430" w:right="1080" w:bottom="720" w:left="1080" w:header="18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3C87C" w14:textId="77777777" w:rsidR="001F2370" w:rsidRDefault="001F2370">
      <w:r>
        <w:separator/>
      </w:r>
    </w:p>
  </w:endnote>
  <w:endnote w:type="continuationSeparator" w:id="0">
    <w:p w14:paraId="4F967B00" w14:textId="77777777" w:rsidR="001F2370" w:rsidRDefault="001F2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e">
    <w:altName w:val="Calibri"/>
    <w:panose1 w:val="00000000000000000000"/>
    <w:charset w:val="00"/>
    <w:family w:val="swiss"/>
    <w:notTrueType/>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Futura Bk BT">
    <w:altName w:val="Segoe UI"/>
    <w:charset w:val="00"/>
    <w:family w:val="swiss"/>
    <w:pitch w:val="variable"/>
    <w:sig w:usb0="800000AF" w:usb1="1000204A" w:usb2="00000000" w:usb3="00000000" w:csb0="0000001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10123" w14:textId="77777777" w:rsidR="001F2370" w:rsidRDefault="001F2370">
      <w:r>
        <w:separator/>
      </w:r>
    </w:p>
  </w:footnote>
  <w:footnote w:type="continuationSeparator" w:id="0">
    <w:p w14:paraId="6BED0F64" w14:textId="77777777" w:rsidR="001F2370" w:rsidRDefault="001F2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8D1B" w14:textId="7B9B5BAC" w:rsidR="00E30CD4" w:rsidRPr="00BE25BC" w:rsidRDefault="0098649E" w:rsidP="0094537E">
    <w:pPr>
      <w:pStyle w:val="Zhlav"/>
      <w:jc w:val="right"/>
      <w:rPr>
        <w:lang w:val="en-GB"/>
      </w:rPr>
    </w:pPr>
    <w:r w:rsidRPr="00BE25BC">
      <w:rPr>
        <w:rFonts w:ascii="Calibre" w:hAnsi="Calibre"/>
        <w:color w:val="003D30" w:themeColor="accent6"/>
        <w:sz w:val="16"/>
        <w:lang w:val="en-GB"/>
      </w:rPr>
      <w:t xml:space="preserve">CBRE </w:t>
    </w:r>
    <w:r w:rsidR="007B533D" w:rsidRPr="00BE25BC">
      <w:rPr>
        <w:rFonts w:ascii="Calibre" w:hAnsi="Calibre"/>
        <w:color w:val="003D30" w:themeColor="accent6"/>
        <w:sz w:val="16"/>
        <w:lang w:val="en-GB"/>
      </w:rPr>
      <w:t>Press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A482" w14:textId="77777777" w:rsidR="00E30CD4" w:rsidRDefault="0098649E">
    <w:pPr>
      <w:pStyle w:val="Zhlav"/>
    </w:pPr>
    <w:r w:rsidRPr="00F51DB7">
      <w:rPr>
        <w:noProof/>
        <w:lang w:val="cs-CZ" w:eastAsia="cs-CZ"/>
      </w:rPr>
      <mc:AlternateContent>
        <mc:Choice Requires="wps">
          <w:drawing>
            <wp:anchor distT="0" distB="0" distL="114300" distR="114300" simplePos="0" relativeHeight="251660288" behindDoc="0" locked="0" layoutInCell="1" allowOverlap="1" wp14:anchorId="0E68F316" wp14:editId="6B425873">
              <wp:simplePos x="0" y="0"/>
              <wp:positionH relativeFrom="margin">
                <wp:posOffset>-9525</wp:posOffset>
              </wp:positionH>
              <wp:positionV relativeFrom="paragraph">
                <wp:posOffset>95885</wp:posOffset>
              </wp:positionV>
              <wp:extent cx="6400800" cy="0"/>
              <wp:effectExtent l="0" t="19050" r="19050" b="19050"/>
              <wp:wrapNone/>
              <wp:docPr id="4" name="Přímá spojnice 4"/>
              <wp:cNvGraphicFramePr/>
              <a:graphic xmlns:a="http://schemas.openxmlformats.org/drawingml/2006/main">
                <a:graphicData uri="http://schemas.microsoft.com/office/word/2010/wordprocessingShape">
                  <wps:wsp>
                    <wps:cNvCnPr/>
                    <wps:spPr>
                      <a:xfrm>
                        <a:off x="0" y="0"/>
                        <a:ext cx="6400800" cy="0"/>
                      </a:xfrm>
                      <a:prstGeom prst="line">
                        <a:avLst/>
                      </a:prstGeom>
                      <a:ln w="28575">
                        <a:solidFill>
                          <a:srgbClr val="003F2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B44BB" id="Přímá spojnice 4"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7.55pt" to="503.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" strokecolor="#003f2d" strokeweight="2.25pt">
              <v:stroke joinstyle="miter"/>
              <w10:wrap anchorx="margin"/>
            </v:line>
          </w:pict>
        </mc:Fallback>
      </mc:AlternateContent>
    </w:r>
    <w:r w:rsidRPr="00F51DB7">
      <w:rPr>
        <w:noProof/>
        <w:lang w:val="cs-CZ" w:eastAsia="cs-CZ"/>
      </w:rPr>
      <w:drawing>
        <wp:anchor distT="0" distB="0" distL="114300" distR="114300" simplePos="0" relativeHeight="251661312" behindDoc="1" locked="0" layoutInCell="1" allowOverlap="1" wp14:anchorId="6B481C3A" wp14:editId="486FBF00">
          <wp:simplePos x="0" y="0"/>
          <wp:positionH relativeFrom="column">
            <wp:posOffset>5358130</wp:posOffset>
          </wp:positionH>
          <wp:positionV relativeFrom="paragraph">
            <wp:posOffset>-454025</wp:posOffset>
          </wp:positionV>
          <wp:extent cx="1030226" cy="259081"/>
          <wp:effectExtent l="0" t="0" r="0" b="7620"/>
          <wp:wrapTight wrapText="bothSides">
            <wp:wrapPolygon edited="0">
              <wp:start x="400" y="0"/>
              <wp:lineTo x="0" y="4765"/>
              <wp:lineTo x="0" y="17471"/>
              <wp:lineTo x="400" y="20647"/>
              <wp:lineTo x="21174" y="20647"/>
              <wp:lineTo x="21174" y="0"/>
              <wp:lineTo x="400" y="0"/>
            </wp:wrapPolygon>
          </wp:wrapTight>
          <wp:docPr id="48" name="Obrázek 48"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 descr="A picture containing text, 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0226" cy="259081"/>
                  </a:xfrm>
                  <a:prstGeom prst="rect">
                    <a:avLst/>
                  </a:prstGeom>
                </pic:spPr>
              </pic:pic>
            </a:graphicData>
          </a:graphic>
        </wp:anchor>
      </w:drawing>
    </w:r>
    <w:r w:rsidRPr="00F51DB7">
      <w:rPr>
        <w:noProof/>
        <w:lang w:val="cs-CZ" w:eastAsia="cs-CZ"/>
      </w:rPr>
      <mc:AlternateContent>
        <mc:Choice Requires="wps">
          <w:drawing>
            <wp:anchor distT="0" distB="0" distL="114300" distR="114300" simplePos="0" relativeHeight="251658240" behindDoc="0" locked="0" layoutInCell="1" allowOverlap="1" wp14:anchorId="01FF4C6E" wp14:editId="3A23BAE1">
              <wp:simplePos x="0" y="0"/>
              <wp:positionH relativeFrom="column">
                <wp:posOffset>-9525</wp:posOffset>
              </wp:positionH>
              <wp:positionV relativeFrom="paragraph">
                <wp:posOffset>-685800</wp:posOffset>
              </wp:positionV>
              <wp:extent cx="4443730" cy="535305"/>
              <wp:effectExtent l="0" t="0" r="13970" b="0"/>
              <wp:wrapNone/>
              <wp:docPr id="3" name="Textové pole 3"/>
              <wp:cNvGraphicFramePr/>
              <a:graphic xmlns:a="http://schemas.openxmlformats.org/drawingml/2006/main">
                <a:graphicData uri="http://schemas.microsoft.com/office/word/2010/wordprocessingShape">
                  <wps:wsp>
                    <wps:cNvSpPr txBox="1"/>
                    <wps:spPr>
                      <a:xfrm>
                        <a:off x="0" y="0"/>
                        <a:ext cx="4443730" cy="535305"/>
                      </a:xfrm>
                      <a:prstGeom prst="rect">
                        <a:avLst/>
                      </a:prstGeom>
                      <a:noFill/>
                      <a:ln w="6350">
                        <a:noFill/>
                      </a:ln>
                    </wps:spPr>
                    <wps:txbx>
                      <w:txbxContent>
                        <w:p w14:paraId="07C515F2" w14:textId="3A76126A" w:rsidR="00E30CD4" w:rsidRPr="00F413B0" w:rsidRDefault="00BF4929" w:rsidP="00F51DB7">
                          <w:pPr>
                            <w:rPr>
                              <w:b/>
                              <w:bCs/>
                              <w:color w:val="003F2D"/>
                              <w:spacing w:val="-20"/>
                              <w:sz w:val="80"/>
                              <w:szCs w:val="80"/>
                            </w:rPr>
                          </w:pPr>
                          <w:r>
                            <w:rPr>
                              <w:b/>
                              <w:bCs/>
                              <w:color w:val="003F2D"/>
                              <w:spacing w:val="-20"/>
                              <w:sz w:val="80"/>
                              <w:szCs w:val="80"/>
                              <w:lang w:val="cs-CZ"/>
                            </w:rPr>
                            <w:t xml:space="preserve">Press </w:t>
                          </w:r>
                          <w:proofErr w:type="spellStart"/>
                          <w:r>
                            <w:rPr>
                              <w:b/>
                              <w:bCs/>
                              <w:color w:val="003F2D"/>
                              <w:spacing w:val="-20"/>
                              <w:sz w:val="80"/>
                              <w:szCs w:val="80"/>
                              <w:lang w:val="cs-CZ"/>
                            </w:rPr>
                            <w:t>Release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1FF4C6E" id="_x0000_t202" coordsize="21600,21600" o:spt="202" path="m,l,21600r21600,l21600,xe">
              <v:stroke joinstyle="miter"/>
              <v:path gradientshapeok="t" o:connecttype="rect"/>
            </v:shapetype>
            <v:shape id="Textové pole 3" o:spid="_x0000_s1026" type="#_x0000_t202" style="position:absolute;margin-left:-.75pt;margin-top:-54pt;width:349.9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" filled="f" stroked="f" strokeweight=".5pt">
              <v:textbox inset="0,0,0,0">
                <w:txbxContent>
                  <w:p w14:paraId="07C515F2" w14:textId="3A76126A" w:rsidR="00E30CD4" w:rsidRPr="00F413B0" w:rsidRDefault="00BF4929" w:rsidP="00F51DB7">
                    <w:pPr>
                      <w:rPr>
                        <w:b/>
                        <w:bCs/>
                        <w:color w:val="003F2D"/>
                        <w:spacing w:val="-20"/>
                        <w:sz w:val="80"/>
                        <w:szCs w:val="80"/>
                      </w:rPr>
                    </w:pPr>
                    <w:r>
                      <w:rPr>
                        <w:b/>
                        <w:bCs/>
                        <w:color w:val="003F2D"/>
                        <w:spacing w:val="-20"/>
                        <w:sz w:val="80"/>
                        <w:szCs w:val="80"/>
                        <w:lang w:val="cs-CZ"/>
                      </w:rPr>
                      <w:t xml:space="preserve">Press </w:t>
                    </w:r>
                    <w:proofErr w:type="spellStart"/>
                    <w:r>
                      <w:rPr>
                        <w:b/>
                        <w:bCs/>
                        <w:color w:val="003F2D"/>
                        <w:spacing w:val="-20"/>
                        <w:sz w:val="80"/>
                        <w:szCs w:val="80"/>
                        <w:lang w:val="cs-CZ"/>
                      </w:rPr>
                      <w:t>Release</w:t>
                    </w:r>
                    <w:proofErr w:type="spellEnd"/>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2BFD"/>
    <w:multiLevelType w:val="hybridMultilevel"/>
    <w:tmpl w:val="AE6CD14E"/>
    <w:lvl w:ilvl="0" w:tplc="28525F1E">
      <w:start w:val="1"/>
      <w:numFmt w:val="decimal"/>
      <w:lvlText w:val="%1."/>
      <w:lvlJc w:val="left"/>
      <w:pPr>
        <w:ind w:left="720" w:hanging="360"/>
      </w:pPr>
    </w:lvl>
    <w:lvl w:ilvl="1" w:tplc="8CA07384">
      <w:start w:val="1"/>
      <w:numFmt w:val="lowerLetter"/>
      <w:lvlText w:val="%2."/>
      <w:lvlJc w:val="left"/>
      <w:pPr>
        <w:ind w:left="1440" w:hanging="360"/>
      </w:pPr>
    </w:lvl>
    <w:lvl w:ilvl="2" w:tplc="030A1656">
      <w:start w:val="1"/>
      <w:numFmt w:val="lowerRoman"/>
      <w:lvlText w:val="%3."/>
      <w:lvlJc w:val="right"/>
      <w:pPr>
        <w:ind w:left="2160" w:hanging="180"/>
      </w:pPr>
    </w:lvl>
    <w:lvl w:ilvl="3" w:tplc="23A4AF6C">
      <w:start w:val="1"/>
      <w:numFmt w:val="decimal"/>
      <w:lvlText w:val="%4."/>
      <w:lvlJc w:val="left"/>
      <w:pPr>
        <w:ind w:left="2880" w:hanging="360"/>
      </w:pPr>
    </w:lvl>
    <w:lvl w:ilvl="4" w:tplc="3C969A20">
      <w:start w:val="1"/>
      <w:numFmt w:val="lowerLetter"/>
      <w:lvlText w:val="%5."/>
      <w:lvlJc w:val="left"/>
      <w:pPr>
        <w:ind w:left="3600" w:hanging="360"/>
      </w:pPr>
    </w:lvl>
    <w:lvl w:ilvl="5" w:tplc="64322A70">
      <w:start w:val="1"/>
      <w:numFmt w:val="lowerRoman"/>
      <w:lvlText w:val="%6."/>
      <w:lvlJc w:val="right"/>
      <w:pPr>
        <w:ind w:left="4320" w:hanging="180"/>
      </w:pPr>
    </w:lvl>
    <w:lvl w:ilvl="6" w:tplc="9A321746">
      <w:start w:val="1"/>
      <w:numFmt w:val="decimal"/>
      <w:lvlText w:val="%7."/>
      <w:lvlJc w:val="left"/>
      <w:pPr>
        <w:ind w:left="5040" w:hanging="360"/>
      </w:pPr>
    </w:lvl>
    <w:lvl w:ilvl="7" w:tplc="2408B526">
      <w:start w:val="1"/>
      <w:numFmt w:val="lowerLetter"/>
      <w:lvlText w:val="%8."/>
      <w:lvlJc w:val="left"/>
      <w:pPr>
        <w:ind w:left="5760" w:hanging="360"/>
      </w:pPr>
    </w:lvl>
    <w:lvl w:ilvl="8" w:tplc="2850EAAE">
      <w:start w:val="1"/>
      <w:numFmt w:val="lowerRoman"/>
      <w:lvlText w:val="%9."/>
      <w:lvlJc w:val="right"/>
      <w:pPr>
        <w:ind w:left="6480" w:hanging="180"/>
      </w:pPr>
    </w:lvl>
  </w:abstractNum>
  <w:abstractNum w:abstractNumId="1" w15:restartNumberingAfterBreak="0">
    <w:nsid w:val="08931D54"/>
    <w:multiLevelType w:val="hybridMultilevel"/>
    <w:tmpl w:val="959284C2"/>
    <w:lvl w:ilvl="0" w:tplc="DD7688F8">
      <w:start w:val="1"/>
      <w:numFmt w:val="bullet"/>
      <w:lvlText w:val=""/>
      <w:lvlJc w:val="left"/>
      <w:pPr>
        <w:ind w:left="720" w:hanging="360"/>
      </w:pPr>
      <w:rPr>
        <w:rFonts w:ascii="Symbol" w:hAnsi="Symbol" w:hint="default"/>
      </w:rPr>
    </w:lvl>
    <w:lvl w:ilvl="1" w:tplc="14B269C6" w:tentative="1">
      <w:start w:val="1"/>
      <w:numFmt w:val="bullet"/>
      <w:lvlText w:val="o"/>
      <w:lvlJc w:val="left"/>
      <w:pPr>
        <w:ind w:left="1440" w:hanging="360"/>
      </w:pPr>
      <w:rPr>
        <w:rFonts w:ascii="Courier New" w:hAnsi="Courier New" w:cs="Courier New" w:hint="default"/>
      </w:rPr>
    </w:lvl>
    <w:lvl w:ilvl="2" w:tplc="399C8466" w:tentative="1">
      <w:start w:val="1"/>
      <w:numFmt w:val="bullet"/>
      <w:lvlText w:val=""/>
      <w:lvlJc w:val="left"/>
      <w:pPr>
        <w:ind w:left="2160" w:hanging="360"/>
      </w:pPr>
      <w:rPr>
        <w:rFonts w:ascii="Wingdings" w:hAnsi="Wingdings" w:hint="default"/>
      </w:rPr>
    </w:lvl>
    <w:lvl w:ilvl="3" w:tplc="E5DCF046" w:tentative="1">
      <w:start w:val="1"/>
      <w:numFmt w:val="bullet"/>
      <w:lvlText w:val=""/>
      <w:lvlJc w:val="left"/>
      <w:pPr>
        <w:ind w:left="2880" w:hanging="360"/>
      </w:pPr>
      <w:rPr>
        <w:rFonts w:ascii="Symbol" w:hAnsi="Symbol" w:hint="default"/>
      </w:rPr>
    </w:lvl>
    <w:lvl w:ilvl="4" w:tplc="45E48A8A" w:tentative="1">
      <w:start w:val="1"/>
      <w:numFmt w:val="bullet"/>
      <w:lvlText w:val="o"/>
      <w:lvlJc w:val="left"/>
      <w:pPr>
        <w:ind w:left="3600" w:hanging="360"/>
      </w:pPr>
      <w:rPr>
        <w:rFonts w:ascii="Courier New" w:hAnsi="Courier New" w:cs="Courier New" w:hint="default"/>
      </w:rPr>
    </w:lvl>
    <w:lvl w:ilvl="5" w:tplc="68502328" w:tentative="1">
      <w:start w:val="1"/>
      <w:numFmt w:val="bullet"/>
      <w:lvlText w:val=""/>
      <w:lvlJc w:val="left"/>
      <w:pPr>
        <w:ind w:left="4320" w:hanging="360"/>
      </w:pPr>
      <w:rPr>
        <w:rFonts w:ascii="Wingdings" w:hAnsi="Wingdings" w:hint="default"/>
      </w:rPr>
    </w:lvl>
    <w:lvl w:ilvl="6" w:tplc="FA6E0368" w:tentative="1">
      <w:start w:val="1"/>
      <w:numFmt w:val="bullet"/>
      <w:lvlText w:val=""/>
      <w:lvlJc w:val="left"/>
      <w:pPr>
        <w:ind w:left="5040" w:hanging="360"/>
      </w:pPr>
      <w:rPr>
        <w:rFonts w:ascii="Symbol" w:hAnsi="Symbol" w:hint="default"/>
      </w:rPr>
    </w:lvl>
    <w:lvl w:ilvl="7" w:tplc="E9A280E4" w:tentative="1">
      <w:start w:val="1"/>
      <w:numFmt w:val="bullet"/>
      <w:lvlText w:val="o"/>
      <w:lvlJc w:val="left"/>
      <w:pPr>
        <w:ind w:left="5760" w:hanging="360"/>
      </w:pPr>
      <w:rPr>
        <w:rFonts w:ascii="Courier New" w:hAnsi="Courier New" w:cs="Courier New" w:hint="default"/>
      </w:rPr>
    </w:lvl>
    <w:lvl w:ilvl="8" w:tplc="3E4EB3F6" w:tentative="1">
      <w:start w:val="1"/>
      <w:numFmt w:val="bullet"/>
      <w:lvlText w:val=""/>
      <w:lvlJc w:val="left"/>
      <w:pPr>
        <w:ind w:left="6480" w:hanging="360"/>
      </w:pPr>
      <w:rPr>
        <w:rFonts w:ascii="Wingdings" w:hAnsi="Wingdings" w:hint="default"/>
      </w:rPr>
    </w:lvl>
  </w:abstractNum>
  <w:abstractNum w:abstractNumId="2" w15:restartNumberingAfterBreak="0">
    <w:nsid w:val="08C11548"/>
    <w:multiLevelType w:val="hybridMultilevel"/>
    <w:tmpl w:val="577EF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C75272B"/>
    <w:multiLevelType w:val="hybridMultilevel"/>
    <w:tmpl w:val="B7444BD4"/>
    <w:lvl w:ilvl="0" w:tplc="0F84B9F6">
      <w:numFmt w:val="bullet"/>
      <w:lvlText w:val="-"/>
      <w:lvlJc w:val="left"/>
      <w:pPr>
        <w:ind w:left="720" w:hanging="360"/>
      </w:pPr>
      <w:rPr>
        <w:rFonts w:ascii="Calibre" w:eastAsia="Times New Roman" w:hAnsi="Calibre" w:cs="Segoe U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D104D1E"/>
    <w:multiLevelType w:val="hybridMultilevel"/>
    <w:tmpl w:val="114AA97C"/>
    <w:lvl w:ilvl="0" w:tplc="67A0C676">
      <w:start w:val="1"/>
      <w:numFmt w:val="bullet"/>
      <w:lvlText w:val=""/>
      <w:lvlJc w:val="left"/>
      <w:pPr>
        <w:ind w:left="720" w:hanging="360"/>
      </w:pPr>
      <w:rPr>
        <w:rFonts w:ascii="Symbol" w:hAnsi="Symbol" w:hint="default"/>
      </w:rPr>
    </w:lvl>
    <w:lvl w:ilvl="1" w:tplc="498CCBFE" w:tentative="1">
      <w:start w:val="1"/>
      <w:numFmt w:val="bullet"/>
      <w:lvlText w:val="o"/>
      <w:lvlJc w:val="left"/>
      <w:pPr>
        <w:ind w:left="1440" w:hanging="360"/>
      </w:pPr>
      <w:rPr>
        <w:rFonts w:ascii="Courier New" w:hAnsi="Courier New" w:cs="Courier New" w:hint="default"/>
      </w:rPr>
    </w:lvl>
    <w:lvl w:ilvl="2" w:tplc="7EFC24F0" w:tentative="1">
      <w:start w:val="1"/>
      <w:numFmt w:val="bullet"/>
      <w:lvlText w:val=""/>
      <w:lvlJc w:val="left"/>
      <w:pPr>
        <w:ind w:left="2160" w:hanging="360"/>
      </w:pPr>
      <w:rPr>
        <w:rFonts w:ascii="Wingdings" w:hAnsi="Wingdings" w:hint="default"/>
      </w:rPr>
    </w:lvl>
    <w:lvl w:ilvl="3" w:tplc="83BC4CEC" w:tentative="1">
      <w:start w:val="1"/>
      <w:numFmt w:val="bullet"/>
      <w:lvlText w:val=""/>
      <w:lvlJc w:val="left"/>
      <w:pPr>
        <w:ind w:left="2880" w:hanging="360"/>
      </w:pPr>
      <w:rPr>
        <w:rFonts w:ascii="Symbol" w:hAnsi="Symbol" w:hint="default"/>
      </w:rPr>
    </w:lvl>
    <w:lvl w:ilvl="4" w:tplc="912A7F7A" w:tentative="1">
      <w:start w:val="1"/>
      <w:numFmt w:val="bullet"/>
      <w:lvlText w:val="o"/>
      <w:lvlJc w:val="left"/>
      <w:pPr>
        <w:ind w:left="3600" w:hanging="360"/>
      </w:pPr>
      <w:rPr>
        <w:rFonts w:ascii="Courier New" w:hAnsi="Courier New" w:cs="Courier New" w:hint="default"/>
      </w:rPr>
    </w:lvl>
    <w:lvl w:ilvl="5" w:tplc="FE801E6A" w:tentative="1">
      <w:start w:val="1"/>
      <w:numFmt w:val="bullet"/>
      <w:lvlText w:val=""/>
      <w:lvlJc w:val="left"/>
      <w:pPr>
        <w:ind w:left="4320" w:hanging="360"/>
      </w:pPr>
      <w:rPr>
        <w:rFonts w:ascii="Wingdings" w:hAnsi="Wingdings" w:hint="default"/>
      </w:rPr>
    </w:lvl>
    <w:lvl w:ilvl="6" w:tplc="08261C28" w:tentative="1">
      <w:start w:val="1"/>
      <w:numFmt w:val="bullet"/>
      <w:lvlText w:val=""/>
      <w:lvlJc w:val="left"/>
      <w:pPr>
        <w:ind w:left="5040" w:hanging="360"/>
      </w:pPr>
      <w:rPr>
        <w:rFonts w:ascii="Symbol" w:hAnsi="Symbol" w:hint="default"/>
      </w:rPr>
    </w:lvl>
    <w:lvl w:ilvl="7" w:tplc="96E2095A" w:tentative="1">
      <w:start w:val="1"/>
      <w:numFmt w:val="bullet"/>
      <w:lvlText w:val="o"/>
      <w:lvlJc w:val="left"/>
      <w:pPr>
        <w:ind w:left="5760" w:hanging="360"/>
      </w:pPr>
      <w:rPr>
        <w:rFonts w:ascii="Courier New" w:hAnsi="Courier New" w:cs="Courier New" w:hint="default"/>
      </w:rPr>
    </w:lvl>
    <w:lvl w:ilvl="8" w:tplc="27707764" w:tentative="1">
      <w:start w:val="1"/>
      <w:numFmt w:val="bullet"/>
      <w:lvlText w:val=""/>
      <w:lvlJc w:val="left"/>
      <w:pPr>
        <w:ind w:left="6480" w:hanging="360"/>
      </w:pPr>
      <w:rPr>
        <w:rFonts w:ascii="Wingdings" w:hAnsi="Wingdings" w:hint="default"/>
      </w:rPr>
    </w:lvl>
  </w:abstractNum>
  <w:abstractNum w:abstractNumId="5" w15:restartNumberingAfterBreak="0">
    <w:nsid w:val="10CF7EE0"/>
    <w:multiLevelType w:val="hybridMultilevel"/>
    <w:tmpl w:val="64EAEFEA"/>
    <w:lvl w:ilvl="0" w:tplc="5F2CB494">
      <w:start w:val="1"/>
      <w:numFmt w:val="bullet"/>
      <w:lvlText w:val=""/>
      <w:lvlJc w:val="left"/>
      <w:pPr>
        <w:ind w:left="720" w:hanging="360"/>
      </w:pPr>
      <w:rPr>
        <w:rFonts w:ascii="Symbol" w:hAnsi="Symbol" w:hint="default"/>
      </w:rPr>
    </w:lvl>
    <w:lvl w:ilvl="1" w:tplc="10FC19A2" w:tentative="1">
      <w:start w:val="1"/>
      <w:numFmt w:val="bullet"/>
      <w:lvlText w:val="o"/>
      <w:lvlJc w:val="left"/>
      <w:pPr>
        <w:ind w:left="1440" w:hanging="360"/>
      </w:pPr>
      <w:rPr>
        <w:rFonts w:ascii="Courier New" w:hAnsi="Courier New" w:cs="Courier New" w:hint="default"/>
      </w:rPr>
    </w:lvl>
    <w:lvl w:ilvl="2" w:tplc="DC9E47CC" w:tentative="1">
      <w:start w:val="1"/>
      <w:numFmt w:val="bullet"/>
      <w:lvlText w:val=""/>
      <w:lvlJc w:val="left"/>
      <w:pPr>
        <w:ind w:left="2160" w:hanging="360"/>
      </w:pPr>
      <w:rPr>
        <w:rFonts w:ascii="Wingdings" w:hAnsi="Wingdings" w:hint="default"/>
      </w:rPr>
    </w:lvl>
    <w:lvl w:ilvl="3" w:tplc="E5404C5E" w:tentative="1">
      <w:start w:val="1"/>
      <w:numFmt w:val="bullet"/>
      <w:lvlText w:val=""/>
      <w:lvlJc w:val="left"/>
      <w:pPr>
        <w:ind w:left="2880" w:hanging="360"/>
      </w:pPr>
      <w:rPr>
        <w:rFonts w:ascii="Symbol" w:hAnsi="Symbol" w:hint="default"/>
      </w:rPr>
    </w:lvl>
    <w:lvl w:ilvl="4" w:tplc="42DAFAD4" w:tentative="1">
      <w:start w:val="1"/>
      <w:numFmt w:val="bullet"/>
      <w:lvlText w:val="o"/>
      <w:lvlJc w:val="left"/>
      <w:pPr>
        <w:ind w:left="3600" w:hanging="360"/>
      </w:pPr>
      <w:rPr>
        <w:rFonts w:ascii="Courier New" w:hAnsi="Courier New" w:cs="Courier New" w:hint="default"/>
      </w:rPr>
    </w:lvl>
    <w:lvl w:ilvl="5" w:tplc="1C94CFC8" w:tentative="1">
      <w:start w:val="1"/>
      <w:numFmt w:val="bullet"/>
      <w:lvlText w:val=""/>
      <w:lvlJc w:val="left"/>
      <w:pPr>
        <w:ind w:left="4320" w:hanging="360"/>
      </w:pPr>
      <w:rPr>
        <w:rFonts w:ascii="Wingdings" w:hAnsi="Wingdings" w:hint="default"/>
      </w:rPr>
    </w:lvl>
    <w:lvl w:ilvl="6" w:tplc="C78CFEC8" w:tentative="1">
      <w:start w:val="1"/>
      <w:numFmt w:val="bullet"/>
      <w:lvlText w:val=""/>
      <w:lvlJc w:val="left"/>
      <w:pPr>
        <w:ind w:left="5040" w:hanging="360"/>
      </w:pPr>
      <w:rPr>
        <w:rFonts w:ascii="Symbol" w:hAnsi="Symbol" w:hint="default"/>
      </w:rPr>
    </w:lvl>
    <w:lvl w:ilvl="7" w:tplc="C5749CC4" w:tentative="1">
      <w:start w:val="1"/>
      <w:numFmt w:val="bullet"/>
      <w:lvlText w:val="o"/>
      <w:lvlJc w:val="left"/>
      <w:pPr>
        <w:ind w:left="5760" w:hanging="360"/>
      </w:pPr>
      <w:rPr>
        <w:rFonts w:ascii="Courier New" w:hAnsi="Courier New" w:cs="Courier New" w:hint="default"/>
      </w:rPr>
    </w:lvl>
    <w:lvl w:ilvl="8" w:tplc="A7A4C2C4" w:tentative="1">
      <w:start w:val="1"/>
      <w:numFmt w:val="bullet"/>
      <w:lvlText w:val=""/>
      <w:lvlJc w:val="left"/>
      <w:pPr>
        <w:ind w:left="6480" w:hanging="360"/>
      </w:pPr>
      <w:rPr>
        <w:rFonts w:ascii="Wingdings" w:hAnsi="Wingdings" w:hint="default"/>
      </w:rPr>
    </w:lvl>
  </w:abstractNum>
  <w:abstractNum w:abstractNumId="6" w15:restartNumberingAfterBreak="0">
    <w:nsid w:val="1BBC25BE"/>
    <w:multiLevelType w:val="hybridMultilevel"/>
    <w:tmpl w:val="52FC0CAA"/>
    <w:lvl w:ilvl="0" w:tplc="81AC1FC4">
      <w:start w:val="1"/>
      <w:numFmt w:val="bullet"/>
      <w:lvlText w:val=""/>
      <w:lvlJc w:val="left"/>
      <w:pPr>
        <w:ind w:left="720" w:hanging="360"/>
      </w:pPr>
      <w:rPr>
        <w:rFonts w:ascii="Symbol" w:hAnsi="Symbol" w:hint="default"/>
      </w:rPr>
    </w:lvl>
    <w:lvl w:ilvl="1" w:tplc="1F2063B4">
      <w:start w:val="1"/>
      <w:numFmt w:val="bullet"/>
      <w:lvlText w:val="o"/>
      <w:lvlJc w:val="left"/>
      <w:pPr>
        <w:ind w:left="1440" w:hanging="360"/>
      </w:pPr>
      <w:rPr>
        <w:rFonts w:ascii="Courier New" w:hAnsi="Courier New" w:cs="Courier New" w:hint="default"/>
      </w:rPr>
    </w:lvl>
    <w:lvl w:ilvl="2" w:tplc="44AC05EE">
      <w:start w:val="1"/>
      <w:numFmt w:val="bullet"/>
      <w:lvlText w:val=""/>
      <w:lvlJc w:val="left"/>
      <w:pPr>
        <w:ind w:left="2160" w:hanging="360"/>
      </w:pPr>
      <w:rPr>
        <w:rFonts w:ascii="Wingdings" w:hAnsi="Wingdings" w:hint="default"/>
      </w:rPr>
    </w:lvl>
    <w:lvl w:ilvl="3" w:tplc="DB9A4402">
      <w:start w:val="1"/>
      <w:numFmt w:val="bullet"/>
      <w:lvlText w:val=""/>
      <w:lvlJc w:val="left"/>
      <w:pPr>
        <w:ind w:left="2880" w:hanging="360"/>
      </w:pPr>
      <w:rPr>
        <w:rFonts w:ascii="Symbol" w:hAnsi="Symbol" w:hint="default"/>
      </w:rPr>
    </w:lvl>
    <w:lvl w:ilvl="4" w:tplc="706EB2FE">
      <w:start w:val="1"/>
      <w:numFmt w:val="bullet"/>
      <w:lvlText w:val="o"/>
      <w:lvlJc w:val="left"/>
      <w:pPr>
        <w:ind w:left="3600" w:hanging="360"/>
      </w:pPr>
      <w:rPr>
        <w:rFonts w:ascii="Courier New" w:hAnsi="Courier New" w:cs="Courier New" w:hint="default"/>
      </w:rPr>
    </w:lvl>
    <w:lvl w:ilvl="5" w:tplc="65A83B92">
      <w:start w:val="1"/>
      <w:numFmt w:val="bullet"/>
      <w:lvlText w:val=""/>
      <w:lvlJc w:val="left"/>
      <w:pPr>
        <w:ind w:left="4320" w:hanging="360"/>
      </w:pPr>
      <w:rPr>
        <w:rFonts w:ascii="Wingdings" w:hAnsi="Wingdings" w:hint="default"/>
      </w:rPr>
    </w:lvl>
    <w:lvl w:ilvl="6" w:tplc="9FC25EFA">
      <w:start w:val="1"/>
      <w:numFmt w:val="bullet"/>
      <w:lvlText w:val=""/>
      <w:lvlJc w:val="left"/>
      <w:pPr>
        <w:ind w:left="5040" w:hanging="360"/>
      </w:pPr>
      <w:rPr>
        <w:rFonts w:ascii="Symbol" w:hAnsi="Symbol" w:hint="default"/>
      </w:rPr>
    </w:lvl>
    <w:lvl w:ilvl="7" w:tplc="2ED40AE6">
      <w:start w:val="1"/>
      <w:numFmt w:val="bullet"/>
      <w:lvlText w:val="o"/>
      <w:lvlJc w:val="left"/>
      <w:pPr>
        <w:ind w:left="5760" w:hanging="360"/>
      </w:pPr>
      <w:rPr>
        <w:rFonts w:ascii="Courier New" w:hAnsi="Courier New" w:cs="Courier New" w:hint="default"/>
      </w:rPr>
    </w:lvl>
    <w:lvl w:ilvl="8" w:tplc="87FC3156">
      <w:start w:val="1"/>
      <w:numFmt w:val="bullet"/>
      <w:lvlText w:val=""/>
      <w:lvlJc w:val="left"/>
      <w:pPr>
        <w:ind w:left="6480" w:hanging="360"/>
      </w:pPr>
      <w:rPr>
        <w:rFonts w:ascii="Wingdings" w:hAnsi="Wingdings" w:hint="default"/>
      </w:rPr>
    </w:lvl>
  </w:abstractNum>
  <w:abstractNum w:abstractNumId="7" w15:restartNumberingAfterBreak="0">
    <w:nsid w:val="33B261AB"/>
    <w:multiLevelType w:val="hybridMultilevel"/>
    <w:tmpl w:val="719274CE"/>
    <w:lvl w:ilvl="0" w:tplc="5B92814E">
      <w:start w:val="1"/>
      <w:numFmt w:val="bullet"/>
      <w:lvlText w:val=""/>
      <w:lvlJc w:val="left"/>
      <w:pPr>
        <w:ind w:left="720" w:hanging="360"/>
      </w:pPr>
      <w:rPr>
        <w:rFonts w:ascii="Symbol" w:hAnsi="Symbol" w:hint="default"/>
      </w:rPr>
    </w:lvl>
    <w:lvl w:ilvl="1" w:tplc="1C3C7AD2" w:tentative="1">
      <w:start w:val="1"/>
      <w:numFmt w:val="bullet"/>
      <w:lvlText w:val="o"/>
      <w:lvlJc w:val="left"/>
      <w:pPr>
        <w:ind w:left="1440" w:hanging="360"/>
      </w:pPr>
      <w:rPr>
        <w:rFonts w:ascii="Courier New" w:hAnsi="Courier New" w:cs="Courier New" w:hint="default"/>
      </w:rPr>
    </w:lvl>
    <w:lvl w:ilvl="2" w:tplc="412C917E" w:tentative="1">
      <w:start w:val="1"/>
      <w:numFmt w:val="bullet"/>
      <w:lvlText w:val=""/>
      <w:lvlJc w:val="left"/>
      <w:pPr>
        <w:ind w:left="2160" w:hanging="360"/>
      </w:pPr>
      <w:rPr>
        <w:rFonts w:ascii="Wingdings" w:hAnsi="Wingdings" w:hint="default"/>
      </w:rPr>
    </w:lvl>
    <w:lvl w:ilvl="3" w:tplc="1518A4C6" w:tentative="1">
      <w:start w:val="1"/>
      <w:numFmt w:val="bullet"/>
      <w:lvlText w:val=""/>
      <w:lvlJc w:val="left"/>
      <w:pPr>
        <w:ind w:left="2880" w:hanging="360"/>
      </w:pPr>
      <w:rPr>
        <w:rFonts w:ascii="Symbol" w:hAnsi="Symbol" w:hint="default"/>
      </w:rPr>
    </w:lvl>
    <w:lvl w:ilvl="4" w:tplc="BB3433EC" w:tentative="1">
      <w:start w:val="1"/>
      <w:numFmt w:val="bullet"/>
      <w:lvlText w:val="o"/>
      <w:lvlJc w:val="left"/>
      <w:pPr>
        <w:ind w:left="3600" w:hanging="360"/>
      </w:pPr>
      <w:rPr>
        <w:rFonts w:ascii="Courier New" w:hAnsi="Courier New" w:cs="Courier New" w:hint="default"/>
      </w:rPr>
    </w:lvl>
    <w:lvl w:ilvl="5" w:tplc="5DBEC144" w:tentative="1">
      <w:start w:val="1"/>
      <w:numFmt w:val="bullet"/>
      <w:lvlText w:val=""/>
      <w:lvlJc w:val="left"/>
      <w:pPr>
        <w:ind w:left="4320" w:hanging="360"/>
      </w:pPr>
      <w:rPr>
        <w:rFonts w:ascii="Wingdings" w:hAnsi="Wingdings" w:hint="default"/>
      </w:rPr>
    </w:lvl>
    <w:lvl w:ilvl="6" w:tplc="D3DC2EB0" w:tentative="1">
      <w:start w:val="1"/>
      <w:numFmt w:val="bullet"/>
      <w:lvlText w:val=""/>
      <w:lvlJc w:val="left"/>
      <w:pPr>
        <w:ind w:left="5040" w:hanging="360"/>
      </w:pPr>
      <w:rPr>
        <w:rFonts w:ascii="Symbol" w:hAnsi="Symbol" w:hint="default"/>
      </w:rPr>
    </w:lvl>
    <w:lvl w:ilvl="7" w:tplc="77E648C6" w:tentative="1">
      <w:start w:val="1"/>
      <w:numFmt w:val="bullet"/>
      <w:lvlText w:val="o"/>
      <w:lvlJc w:val="left"/>
      <w:pPr>
        <w:ind w:left="5760" w:hanging="360"/>
      </w:pPr>
      <w:rPr>
        <w:rFonts w:ascii="Courier New" w:hAnsi="Courier New" w:cs="Courier New" w:hint="default"/>
      </w:rPr>
    </w:lvl>
    <w:lvl w:ilvl="8" w:tplc="40B85C5A" w:tentative="1">
      <w:start w:val="1"/>
      <w:numFmt w:val="bullet"/>
      <w:lvlText w:val=""/>
      <w:lvlJc w:val="left"/>
      <w:pPr>
        <w:ind w:left="6480" w:hanging="360"/>
      </w:pPr>
      <w:rPr>
        <w:rFonts w:ascii="Wingdings" w:hAnsi="Wingdings" w:hint="default"/>
      </w:rPr>
    </w:lvl>
  </w:abstractNum>
  <w:abstractNum w:abstractNumId="8" w15:restartNumberingAfterBreak="0">
    <w:nsid w:val="3A231014"/>
    <w:multiLevelType w:val="hybridMultilevel"/>
    <w:tmpl w:val="FE7CA86E"/>
    <w:lvl w:ilvl="0" w:tplc="BFD8379C">
      <w:start w:val="8"/>
      <w:numFmt w:val="bullet"/>
      <w:lvlText w:val="-"/>
      <w:lvlJc w:val="left"/>
      <w:pPr>
        <w:ind w:left="720" w:hanging="360"/>
      </w:pPr>
      <w:rPr>
        <w:rFonts w:ascii="Calibri" w:eastAsia="Calibri" w:hAnsi="Calibri" w:cs="Calibri" w:hint="default"/>
      </w:rPr>
    </w:lvl>
    <w:lvl w:ilvl="1" w:tplc="C11E2D3A">
      <w:start w:val="1"/>
      <w:numFmt w:val="bullet"/>
      <w:lvlText w:val="o"/>
      <w:lvlJc w:val="left"/>
      <w:pPr>
        <w:ind w:left="1440" w:hanging="360"/>
      </w:pPr>
      <w:rPr>
        <w:rFonts w:ascii="Courier New" w:hAnsi="Courier New" w:cs="Courier New" w:hint="default"/>
      </w:rPr>
    </w:lvl>
    <w:lvl w:ilvl="2" w:tplc="7BEEEB52">
      <w:start w:val="1"/>
      <w:numFmt w:val="bullet"/>
      <w:lvlText w:val=""/>
      <w:lvlJc w:val="left"/>
      <w:pPr>
        <w:ind w:left="2160" w:hanging="360"/>
      </w:pPr>
      <w:rPr>
        <w:rFonts w:ascii="Wingdings" w:hAnsi="Wingdings" w:hint="default"/>
      </w:rPr>
    </w:lvl>
    <w:lvl w:ilvl="3" w:tplc="7174D540">
      <w:start w:val="1"/>
      <w:numFmt w:val="bullet"/>
      <w:lvlText w:val=""/>
      <w:lvlJc w:val="left"/>
      <w:pPr>
        <w:ind w:left="2880" w:hanging="360"/>
      </w:pPr>
      <w:rPr>
        <w:rFonts w:ascii="Symbol" w:hAnsi="Symbol" w:hint="default"/>
      </w:rPr>
    </w:lvl>
    <w:lvl w:ilvl="4" w:tplc="83945742">
      <w:start w:val="1"/>
      <w:numFmt w:val="bullet"/>
      <w:lvlText w:val="o"/>
      <w:lvlJc w:val="left"/>
      <w:pPr>
        <w:ind w:left="3600" w:hanging="360"/>
      </w:pPr>
      <w:rPr>
        <w:rFonts w:ascii="Courier New" w:hAnsi="Courier New" w:cs="Courier New" w:hint="default"/>
      </w:rPr>
    </w:lvl>
    <w:lvl w:ilvl="5" w:tplc="03D44968">
      <w:start w:val="1"/>
      <w:numFmt w:val="bullet"/>
      <w:lvlText w:val=""/>
      <w:lvlJc w:val="left"/>
      <w:pPr>
        <w:ind w:left="4320" w:hanging="360"/>
      </w:pPr>
      <w:rPr>
        <w:rFonts w:ascii="Wingdings" w:hAnsi="Wingdings" w:hint="default"/>
      </w:rPr>
    </w:lvl>
    <w:lvl w:ilvl="6" w:tplc="7444E6B4">
      <w:start w:val="1"/>
      <w:numFmt w:val="bullet"/>
      <w:lvlText w:val=""/>
      <w:lvlJc w:val="left"/>
      <w:pPr>
        <w:ind w:left="5040" w:hanging="360"/>
      </w:pPr>
      <w:rPr>
        <w:rFonts w:ascii="Symbol" w:hAnsi="Symbol" w:hint="default"/>
      </w:rPr>
    </w:lvl>
    <w:lvl w:ilvl="7" w:tplc="2ED88852">
      <w:start w:val="1"/>
      <w:numFmt w:val="bullet"/>
      <w:lvlText w:val="o"/>
      <w:lvlJc w:val="left"/>
      <w:pPr>
        <w:ind w:left="5760" w:hanging="360"/>
      </w:pPr>
      <w:rPr>
        <w:rFonts w:ascii="Courier New" w:hAnsi="Courier New" w:cs="Courier New" w:hint="default"/>
      </w:rPr>
    </w:lvl>
    <w:lvl w:ilvl="8" w:tplc="5B92725C">
      <w:start w:val="1"/>
      <w:numFmt w:val="bullet"/>
      <w:lvlText w:val=""/>
      <w:lvlJc w:val="left"/>
      <w:pPr>
        <w:ind w:left="6480" w:hanging="360"/>
      </w:pPr>
      <w:rPr>
        <w:rFonts w:ascii="Wingdings" w:hAnsi="Wingdings" w:hint="default"/>
      </w:rPr>
    </w:lvl>
  </w:abstractNum>
  <w:abstractNum w:abstractNumId="9" w15:restartNumberingAfterBreak="0">
    <w:nsid w:val="3F8B7214"/>
    <w:multiLevelType w:val="hybridMultilevel"/>
    <w:tmpl w:val="5178E1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B443949"/>
    <w:multiLevelType w:val="hybridMultilevel"/>
    <w:tmpl w:val="E61C6D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4B4457A"/>
    <w:multiLevelType w:val="hybridMultilevel"/>
    <w:tmpl w:val="38D26168"/>
    <w:lvl w:ilvl="0" w:tplc="F6385724">
      <w:start w:val="1"/>
      <w:numFmt w:val="bullet"/>
      <w:lvlText w:val=""/>
      <w:lvlJc w:val="left"/>
      <w:pPr>
        <w:ind w:left="720" w:hanging="360"/>
      </w:pPr>
      <w:rPr>
        <w:rFonts w:ascii="Symbol" w:hAnsi="Symbol" w:hint="default"/>
      </w:rPr>
    </w:lvl>
    <w:lvl w:ilvl="1" w:tplc="8F7ADFEA" w:tentative="1">
      <w:start w:val="1"/>
      <w:numFmt w:val="bullet"/>
      <w:lvlText w:val="o"/>
      <w:lvlJc w:val="left"/>
      <w:pPr>
        <w:ind w:left="1440" w:hanging="360"/>
      </w:pPr>
      <w:rPr>
        <w:rFonts w:ascii="Courier New" w:hAnsi="Courier New" w:cs="Courier New" w:hint="default"/>
      </w:rPr>
    </w:lvl>
    <w:lvl w:ilvl="2" w:tplc="BD3C4802" w:tentative="1">
      <w:start w:val="1"/>
      <w:numFmt w:val="bullet"/>
      <w:lvlText w:val=""/>
      <w:lvlJc w:val="left"/>
      <w:pPr>
        <w:ind w:left="2160" w:hanging="360"/>
      </w:pPr>
      <w:rPr>
        <w:rFonts w:ascii="Wingdings" w:hAnsi="Wingdings" w:hint="default"/>
      </w:rPr>
    </w:lvl>
    <w:lvl w:ilvl="3" w:tplc="05DC458A" w:tentative="1">
      <w:start w:val="1"/>
      <w:numFmt w:val="bullet"/>
      <w:lvlText w:val=""/>
      <w:lvlJc w:val="left"/>
      <w:pPr>
        <w:ind w:left="2880" w:hanging="360"/>
      </w:pPr>
      <w:rPr>
        <w:rFonts w:ascii="Symbol" w:hAnsi="Symbol" w:hint="default"/>
      </w:rPr>
    </w:lvl>
    <w:lvl w:ilvl="4" w:tplc="49F0CEF4" w:tentative="1">
      <w:start w:val="1"/>
      <w:numFmt w:val="bullet"/>
      <w:lvlText w:val="o"/>
      <w:lvlJc w:val="left"/>
      <w:pPr>
        <w:ind w:left="3600" w:hanging="360"/>
      </w:pPr>
      <w:rPr>
        <w:rFonts w:ascii="Courier New" w:hAnsi="Courier New" w:cs="Courier New" w:hint="default"/>
      </w:rPr>
    </w:lvl>
    <w:lvl w:ilvl="5" w:tplc="E4FADBE8" w:tentative="1">
      <w:start w:val="1"/>
      <w:numFmt w:val="bullet"/>
      <w:lvlText w:val=""/>
      <w:lvlJc w:val="left"/>
      <w:pPr>
        <w:ind w:left="4320" w:hanging="360"/>
      </w:pPr>
      <w:rPr>
        <w:rFonts w:ascii="Wingdings" w:hAnsi="Wingdings" w:hint="default"/>
      </w:rPr>
    </w:lvl>
    <w:lvl w:ilvl="6" w:tplc="D71E46C6" w:tentative="1">
      <w:start w:val="1"/>
      <w:numFmt w:val="bullet"/>
      <w:lvlText w:val=""/>
      <w:lvlJc w:val="left"/>
      <w:pPr>
        <w:ind w:left="5040" w:hanging="360"/>
      </w:pPr>
      <w:rPr>
        <w:rFonts w:ascii="Symbol" w:hAnsi="Symbol" w:hint="default"/>
      </w:rPr>
    </w:lvl>
    <w:lvl w:ilvl="7" w:tplc="8C785652" w:tentative="1">
      <w:start w:val="1"/>
      <w:numFmt w:val="bullet"/>
      <w:lvlText w:val="o"/>
      <w:lvlJc w:val="left"/>
      <w:pPr>
        <w:ind w:left="5760" w:hanging="360"/>
      </w:pPr>
      <w:rPr>
        <w:rFonts w:ascii="Courier New" w:hAnsi="Courier New" w:cs="Courier New" w:hint="default"/>
      </w:rPr>
    </w:lvl>
    <w:lvl w:ilvl="8" w:tplc="185CF8BE" w:tentative="1">
      <w:start w:val="1"/>
      <w:numFmt w:val="bullet"/>
      <w:lvlText w:val=""/>
      <w:lvlJc w:val="left"/>
      <w:pPr>
        <w:ind w:left="6480" w:hanging="360"/>
      </w:pPr>
      <w:rPr>
        <w:rFonts w:ascii="Wingdings" w:hAnsi="Wingdings" w:hint="default"/>
      </w:rPr>
    </w:lvl>
  </w:abstractNum>
  <w:abstractNum w:abstractNumId="12" w15:restartNumberingAfterBreak="0">
    <w:nsid w:val="5F8E0623"/>
    <w:multiLevelType w:val="hybridMultilevel"/>
    <w:tmpl w:val="2E46B2A0"/>
    <w:lvl w:ilvl="0" w:tplc="49BC29EE">
      <w:start w:val="1"/>
      <w:numFmt w:val="bullet"/>
      <w:lvlText w:val=""/>
      <w:lvlJc w:val="left"/>
      <w:pPr>
        <w:ind w:left="720" w:hanging="360"/>
      </w:pPr>
      <w:rPr>
        <w:rFonts w:ascii="Symbol" w:hAnsi="Symbol" w:hint="default"/>
      </w:rPr>
    </w:lvl>
    <w:lvl w:ilvl="1" w:tplc="DA9E8D68" w:tentative="1">
      <w:start w:val="1"/>
      <w:numFmt w:val="bullet"/>
      <w:lvlText w:val="o"/>
      <w:lvlJc w:val="left"/>
      <w:pPr>
        <w:ind w:left="1440" w:hanging="360"/>
      </w:pPr>
      <w:rPr>
        <w:rFonts w:ascii="Courier New" w:hAnsi="Courier New" w:cs="Courier New" w:hint="default"/>
      </w:rPr>
    </w:lvl>
    <w:lvl w:ilvl="2" w:tplc="504CFD5C" w:tentative="1">
      <w:start w:val="1"/>
      <w:numFmt w:val="bullet"/>
      <w:lvlText w:val=""/>
      <w:lvlJc w:val="left"/>
      <w:pPr>
        <w:ind w:left="2160" w:hanging="360"/>
      </w:pPr>
      <w:rPr>
        <w:rFonts w:ascii="Wingdings" w:hAnsi="Wingdings" w:hint="default"/>
      </w:rPr>
    </w:lvl>
    <w:lvl w:ilvl="3" w:tplc="7DFCA736" w:tentative="1">
      <w:start w:val="1"/>
      <w:numFmt w:val="bullet"/>
      <w:lvlText w:val=""/>
      <w:lvlJc w:val="left"/>
      <w:pPr>
        <w:ind w:left="2880" w:hanging="360"/>
      </w:pPr>
      <w:rPr>
        <w:rFonts w:ascii="Symbol" w:hAnsi="Symbol" w:hint="default"/>
      </w:rPr>
    </w:lvl>
    <w:lvl w:ilvl="4" w:tplc="499A1892" w:tentative="1">
      <w:start w:val="1"/>
      <w:numFmt w:val="bullet"/>
      <w:lvlText w:val="o"/>
      <w:lvlJc w:val="left"/>
      <w:pPr>
        <w:ind w:left="3600" w:hanging="360"/>
      </w:pPr>
      <w:rPr>
        <w:rFonts w:ascii="Courier New" w:hAnsi="Courier New" w:cs="Courier New" w:hint="default"/>
      </w:rPr>
    </w:lvl>
    <w:lvl w:ilvl="5" w:tplc="10AE6998" w:tentative="1">
      <w:start w:val="1"/>
      <w:numFmt w:val="bullet"/>
      <w:lvlText w:val=""/>
      <w:lvlJc w:val="left"/>
      <w:pPr>
        <w:ind w:left="4320" w:hanging="360"/>
      </w:pPr>
      <w:rPr>
        <w:rFonts w:ascii="Wingdings" w:hAnsi="Wingdings" w:hint="default"/>
      </w:rPr>
    </w:lvl>
    <w:lvl w:ilvl="6" w:tplc="8698FA46" w:tentative="1">
      <w:start w:val="1"/>
      <w:numFmt w:val="bullet"/>
      <w:lvlText w:val=""/>
      <w:lvlJc w:val="left"/>
      <w:pPr>
        <w:ind w:left="5040" w:hanging="360"/>
      </w:pPr>
      <w:rPr>
        <w:rFonts w:ascii="Symbol" w:hAnsi="Symbol" w:hint="default"/>
      </w:rPr>
    </w:lvl>
    <w:lvl w:ilvl="7" w:tplc="EA2ADEAC" w:tentative="1">
      <w:start w:val="1"/>
      <w:numFmt w:val="bullet"/>
      <w:lvlText w:val="o"/>
      <w:lvlJc w:val="left"/>
      <w:pPr>
        <w:ind w:left="5760" w:hanging="360"/>
      </w:pPr>
      <w:rPr>
        <w:rFonts w:ascii="Courier New" w:hAnsi="Courier New" w:cs="Courier New" w:hint="default"/>
      </w:rPr>
    </w:lvl>
    <w:lvl w:ilvl="8" w:tplc="0D12B776" w:tentative="1">
      <w:start w:val="1"/>
      <w:numFmt w:val="bullet"/>
      <w:lvlText w:val=""/>
      <w:lvlJc w:val="left"/>
      <w:pPr>
        <w:ind w:left="6480" w:hanging="360"/>
      </w:pPr>
      <w:rPr>
        <w:rFonts w:ascii="Wingdings" w:hAnsi="Wingdings" w:hint="default"/>
      </w:rPr>
    </w:lvl>
  </w:abstractNum>
  <w:abstractNum w:abstractNumId="13" w15:restartNumberingAfterBreak="0">
    <w:nsid w:val="60AC5FA2"/>
    <w:multiLevelType w:val="hybridMultilevel"/>
    <w:tmpl w:val="2CE220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1F82369"/>
    <w:multiLevelType w:val="hybridMultilevel"/>
    <w:tmpl w:val="F6BAC43E"/>
    <w:lvl w:ilvl="0" w:tplc="780E353A">
      <w:start w:val="19"/>
      <w:numFmt w:val="bullet"/>
      <w:lvlText w:val="-"/>
      <w:lvlJc w:val="left"/>
      <w:pPr>
        <w:ind w:left="720" w:hanging="360"/>
      </w:pPr>
      <w:rPr>
        <w:rFonts w:ascii="Calibri" w:eastAsia="Calibri" w:hAnsi="Calibri" w:cs="Calibri" w:hint="default"/>
      </w:rPr>
    </w:lvl>
    <w:lvl w:ilvl="1" w:tplc="4AB42DCA">
      <w:start w:val="1"/>
      <w:numFmt w:val="bullet"/>
      <w:lvlText w:val="o"/>
      <w:lvlJc w:val="left"/>
      <w:pPr>
        <w:ind w:left="1440" w:hanging="360"/>
      </w:pPr>
      <w:rPr>
        <w:rFonts w:ascii="Courier New" w:hAnsi="Courier New" w:cs="Courier New" w:hint="default"/>
      </w:rPr>
    </w:lvl>
    <w:lvl w:ilvl="2" w:tplc="E3FA6D82">
      <w:start w:val="1"/>
      <w:numFmt w:val="bullet"/>
      <w:lvlText w:val=""/>
      <w:lvlJc w:val="left"/>
      <w:pPr>
        <w:ind w:left="2160" w:hanging="360"/>
      </w:pPr>
      <w:rPr>
        <w:rFonts w:ascii="Wingdings" w:hAnsi="Wingdings" w:hint="default"/>
      </w:rPr>
    </w:lvl>
    <w:lvl w:ilvl="3" w:tplc="A522AC6C">
      <w:start w:val="1"/>
      <w:numFmt w:val="bullet"/>
      <w:lvlText w:val=""/>
      <w:lvlJc w:val="left"/>
      <w:pPr>
        <w:ind w:left="2880" w:hanging="360"/>
      </w:pPr>
      <w:rPr>
        <w:rFonts w:ascii="Symbol" w:hAnsi="Symbol" w:hint="default"/>
      </w:rPr>
    </w:lvl>
    <w:lvl w:ilvl="4" w:tplc="4E1C134A">
      <w:start w:val="1"/>
      <w:numFmt w:val="bullet"/>
      <w:lvlText w:val="o"/>
      <w:lvlJc w:val="left"/>
      <w:pPr>
        <w:ind w:left="3600" w:hanging="360"/>
      </w:pPr>
      <w:rPr>
        <w:rFonts w:ascii="Courier New" w:hAnsi="Courier New" w:cs="Courier New" w:hint="default"/>
      </w:rPr>
    </w:lvl>
    <w:lvl w:ilvl="5" w:tplc="7A601ACC">
      <w:start w:val="1"/>
      <w:numFmt w:val="bullet"/>
      <w:lvlText w:val=""/>
      <w:lvlJc w:val="left"/>
      <w:pPr>
        <w:ind w:left="4320" w:hanging="360"/>
      </w:pPr>
      <w:rPr>
        <w:rFonts w:ascii="Wingdings" w:hAnsi="Wingdings" w:hint="default"/>
      </w:rPr>
    </w:lvl>
    <w:lvl w:ilvl="6" w:tplc="52B43C32">
      <w:start w:val="1"/>
      <w:numFmt w:val="bullet"/>
      <w:lvlText w:val=""/>
      <w:lvlJc w:val="left"/>
      <w:pPr>
        <w:ind w:left="5040" w:hanging="360"/>
      </w:pPr>
      <w:rPr>
        <w:rFonts w:ascii="Symbol" w:hAnsi="Symbol" w:hint="default"/>
      </w:rPr>
    </w:lvl>
    <w:lvl w:ilvl="7" w:tplc="C2C6A46C">
      <w:start w:val="1"/>
      <w:numFmt w:val="bullet"/>
      <w:lvlText w:val="o"/>
      <w:lvlJc w:val="left"/>
      <w:pPr>
        <w:ind w:left="5760" w:hanging="360"/>
      </w:pPr>
      <w:rPr>
        <w:rFonts w:ascii="Courier New" w:hAnsi="Courier New" w:cs="Courier New" w:hint="default"/>
      </w:rPr>
    </w:lvl>
    <w:lvl w:ilvl="8" w:tplc="4CAA8884">
      <w:start w:val="1"/>
      <w:numFmt w:val="bullet"/>
      <w:lvlText w:val=""/>
      <w:lvlJc w:val="left"/>
      <w:pPr>
        <w:ind w:left="6480" w:hanging="360"/>
      </w:pPr>
      <w:rPr>
        <w:rFonts w:ascii="Wingdings" w:hAnsi="Wingdings" w:hint="default"/>
      </w:rPr>
    </w:lvl>
  </w:abstractNum>
  <w:abstractNum w:abstractNumId="15" w15:restartNumberingAfterBreak="0">
    <w:nsid w:val="625367B2"/>
    <w:multiLevelType w:val="hybridMultilevel"/>
    <w:tmpl w:val="AE6CD14E"/>
    <w:lvl w:ilvl="0" w:tplc="4ADE74B8">
      <w:start w:val="1"/>
      <w:numFmt w:val="decimal"/>
      <w:lvlText w:val="%1."/>
      <w:lvlJc w:val="left"/>
      <w:pPr>
        <w:ind w:left="720" w:hanging="360"/>
      </w:pPr>
    </w:lvl>
    <w:lvl w:ilvl="1" w:tplc="307C7D7E">
      <w:start w:val="1"/>
      <w:numFmt w:val="lowerLetter"/>
      <w:lvlText w:val="%2."/>
      <w:lvlJc w:val="left"/>
      <w:pPr>
        <w:ind w:left="1440" w:hanging="360"/>
      </w:pPr>
    </w:lvl>
    <w:lvl w:ilvl="2" w:tplc="D864134A">
      <w:start w:val="1"/>
      <w:numFmt w:val="lowerRoman"/>
      <w:lvlText w:val="%3."/>
      <w:lvlJc w:val="right"/>
      <w:pPr>
        <w:ind w:left="2160" w:hanging="180"/>
      </w:pPr>
    </w:lvl>
    <w:lvl w:ilvl="3" w:tplc="6630B2E6">
      <w:start w:val="1"/>
      <w:numFmt w:val="decimal"/>
      <w:lvlText w:val="%4."/>
      <w:lvlJc w:val="left"/>
      <w:pPr>
        <w:ind w:left="2880" w:hanging="360"/>
      </w:pPr>
    </w:lvl>
    <w:lvl w:ilvl="4" w:tplc="C9B2443A">
      <w:start w:val="1"/>
      <w:numFmt w:val="lowerLetter"/>
      <w:lvlText w:val="%5."/>
      <w:lvlJc w:val="left"/>
      <w:pPr>
        <w:ind w:left="3600" w:hanging="360"/>
      </w:pPr>
    </w:lvl>
    <w:lvl w:ilvl="5" w:tplc="BC1894FE">
      <w:start w:val="1"/>
      <w:numFmt w:val="lowerRoman"/>
      <w:lvlText w:val="%6."/>
      <w:lvlJc w:val="right"/>
      <w:pPr>
        <w:ind w:left="4320" w:hanging="180"/>
      </w:pPr>
    </w:lvl>
    <w:lvl w:ilvl="6" w:tplc="7F007F6C">
      <w:start w:val="1"/>
      <w:numFmt w:val="decimal"/>
      <w:lvlText w:val="%7."/>
      <w:lvlJc w:val="left"/>
      <w:pPr>
        <w:ind w:left="5040" w:hanging="360"/>
      </w:pPr>
    </w:lvl>
    <w:lvl w:ilvl="7" w:tplc="C8FACA08">
      <w:start w:val="1"/>
      <w:numFmt w:val="lowerLetter"/>
      <w:lvlText w:val="%8."/>
      <w:lvlJc w:val="left"/>
      <w:pPr>
        <w:ind w:left="5760" w:hanging="360"/>
      </w:pPr>
    </w:lvl>
    <w:lvl w:ilvl="8" w:tplc="453A109E">
      <w:start w:val="1"/>
      <w:numFmt w:val="lowerRoman"/>
      <w:lvlText w:val="%9."/>
      <w:lvlJc w:val="right"/>
      <w:pPr>
        <w:ind w:left="6480" w:hanging="180"/>
      </w:pPr>
    </w:lvl>
  </w:abstractNum>
  <w:abstractNum w:abstractNumId="16" w15:restartNumberingAfterBreak="0">
    <w:nsid w:val="63B148C3"/>
    <w:multiLevelType w:val="multilevel"/>
    <w:tmpl w:val="2CE00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B821BF"/>
    <w:multiLevelType w:val="hybridMultilevel"/>
    <w:tmpl w:val="AE6CD14E"/>
    <w:lvl w:ilvl="0" w:tplc="F2428F16">
      <w:start w:val="1"/>
      <w:numFmt w:val="decimal"/>
      <w:lvlText w:val="%1."/>
      <w:lvlJc w:val="left"/>
      <w:pPr>
        <w:ind w:left="720" w:hanging="360"/>
      </w:pPr>
    </w:lvl>
    <w:lvl w:ilvl="1" w:tplc="D7487CA8">
      <w:start w:val="1"/>
      <w:numFmt w:val="lowerLetter"/>
      <w:lvlText w:val="%2."/>
      <w:lvlJc w:val="left"/>
      <w:pPr>
        <w:ind w:left="1440" w:hanging="360"/>
      </w:pPr>
    </w:lvl>
    <w:lvl w:ilvl="2" w:tplc="C47C658A">
      <w:start w:val="1"/>
      <w:numFmt w:val="lowerRoman"/>
      <w:lvlText w:val="%3."/>
      <w:lvlJc w:val="right"/>
      <w:pPr>
        <w:ind w:left="2160" w:hanging="180"/>
      </w:pPr>
    </w:lvl>
    <w:lvl w:ilvl="3" w:tplc="F9C6D05A">
      <w:start w:val="1"/>
      <w:numFmt w:val="decimal"/>
      <w:lvlText w:val="%4."/>
      <w:lvlJc w:val="left"/>
      <w:pPr>
        <w:ind w:left="2880" w:hanging="360"/>
      </w:pPr>
    </w:lvl>
    <w:lvl w:ilvl="4" w:tplc="A684ACF8">
      <w:start w:val="1"/>
      <w:numFmt w:val="lowerLetter"/>
      <w:lvlText w:val="%5."/>
      <w:lvlJc w:val="left"/>
      <w:pPr>
        <w:ind w:left="3600" w:hanging="360"/>
      </w:pPr>
    </w:lvl>
    <w:lvl w:ilvl="5" w:tplc="1BC00B00">
      <w:start w:val="1"/>
      <w:numFmt w:val="lowerRoman"/>
      <w:lvlText w:val="%6."/>
      <w:lvlJc w:val="right"/>
      <w:pPr>
        <w:ind w:left="4320" w:hanging="180"/>
      </w:pPr>
    </w:lvl>
    <w:lvl w:ilvl="6" w:tplc="7DD02714">
      <w:start w:val="1"/>
      <w:numFmt w:val="decimal"/>
      <w:lvlText w:val="%7."/>
      <w:lvlJc w:val="left"/>
      <w:pPr>
        <w:ind w:left="5040" w:hanging="360"/>
      </w:pPr>
    </w:lvl>
    <w:lvl w:ilvl="7" w:tplc="6F5ECD6A">
      <w:start w:val="1"/>
      <w:numFmt w:val="lowerLetter"/>
      <w:lvlText w:val="%8."/>
      <w:lvlJc w:val="left"/>
      <w:pPr>
        <w:ind w:left="5760" w:hanging="360"/>
      </w:pPr>
    </w:lvl>
    <w:lvl w:ilvl="8" w:tplc="D7AC64B6">
      <w:start w:val="1"/>
      <w:numFmt w:val="lowerRoman"/>
      <w:lvlText w:val="%9."/>
      <w:lvlJc w:val="right"/>
      <w:pPr>
        <w:ind w:left="6480" w:hanging="180"/>
      </w:pPr>
    </w:lvl>
  </w:abstractNum>
  <w:abstractNum w:abstractNumId="18" w15:restartNumberingAfterBreak="0">
    <w:nsid w:val="7E555383"/>
    <w:multiLevelType w:val="hybridMultilevel"/>
    <w:tmpl w:val="AE6CD14E"/>
    <w:lvl w:ilvl="0" w:tplc="E07812BE">
      <w:start w:val="1"/>
      <w:numFmt w:val="decimal"/>
      <w:lvlText w:val="%1."/>
      <w:lvlJc w:val="left"/>
      <w:pPr>
        <w:ind w:left="720" w:hanging="360"/>
      </w:pPr>
    </w:lvl>
    <w:lvl w:ilvl="1" w:tplc="65840EE2">
      <w:start w:val="1"/>
      <w:numFmt w:val="lowerLetter"/>
      <w:lvlText w:val="%2."/>
      <w:lvlJc w:val="left"/>
      <w:pPr>
        <w:ind w:left="1440" w:hanging="360"/>
      </w:pPr>
    </w:lvl>
    <w:lvl w:ilvl="2" w:tplc="6B8A2006">
      <w:start w:val="1"/>
      <w:numFmt w:val="lowerRoman"/>
      <w:lvlText w:val="%3."/>
      <w:lvlJc w:val="right"/>
      <w:pPr>
        <w:ind w:left="2160" w:hanging="180"/>
      </w:pPr>
    </w:lvl>
    <w:lvl w:ilvl="3" w:tplc="D180BA3E">
      <w:start w:val="1"/>
      <w:numFmt w:val="decimal"/>
      <w:lvlText w:val="%4."/>
      <w:lvlJc w:val="left"/>
      <w:pPr>
        <w:ind w:left="2880" w:hanging="360"/>
      </w:pPr>
    </w:lvl>
    <w:lvl w:ilvl="4" w:tplc="824AC01A">
      <w:start w:val="1"/>
      <w:numFmt w:val="lowerLetter"/>
      <w:lvlText w:val="%5."/>
      <w:lvlJc w:val="left"/>
      <w:pPr>
        <w:ind w:left="3600" w:hanging="360"/>
      </w:pPr>
    </w:lvl>
    <w:lvl w:ilvl="5" w:tplc="4902432E">
      <w:start w:val="1"/>
      <w:numFmt w:val="lowerRoman"/>
      <w:lvlText w:val="%6."/>
      <w:lvlJc w:val="right"/>
      <w:pPr>
        <w:ind w:left="4320" w:hanging="180"/>
      </w:pPr>
    </w:lvl>
    <w:lvl w:ilvl="6" w:tplc="B394ADC2">
      <w:start w:val="1"/>
      <w:numFmt w:val="decimal"/>
      <w:lvlText w:val="%7."/>
      <w:lvlJc w:val="left"/>
      <w:pPr>
        <w:ind w:left="5040" w:hanging="360"/>
      </w:pPr>
    </w:lvl>
    <w:lvl w:ilvl="7" w:tplc="68E22228">
      <w:start w:val="1"/>
      <w:numFmt w:val="lowerLetter"/>
      <w:lvlText w:val="%8."/>
      <w:lvlJc w:val="left"/>
      <w:pPr>
        <w:ind w:left="5760" w:hanging="360"/>
      </w:pPr>
    </w:lvl>
    <w:lvl w:ilvl="8" w:tplc="D222F13A">
      <w:start w:val="1"/>
      <w:numFmt w:val="lowerRoman"/>
      <w:lvlText w:val="%9."/>
      <w:lvlJc w:val="right"/>
      <w:pPr>
        <w:ind w:left="6480" w:hanging="180"/>
      </w:pPr>
    </w:lvl>
  </w:abstractNum>
  <w:num w:numId="1" w16cid:durableId="921597916">
    <w:abstractNumId w:val="11"/>
  </w:num>
  <w:num w:numId="2" w16cid:durableId="2057384616">
    <w:abstractNumId w:val="7"/>
  </w:num>
  <w:num w:numId="3" w16cid:durableId="558980417">
    <w:abstractNumId w:val="12"/>
  </w:num>
  <w:num w:numId="4" w16cid:durableId="909778462">
    <w:abstractNumId w:val="1"/>
  </w:num>
  <w:num w:numId="5" w16cid:durableId="4552935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917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06617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50343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7309200">
    <w:abstractNumId w:val="6"/>
  </w:num>
  <w:num w:numId="10" w16cid:durableId="1731030294">
    <w:abstractNumId w:val="0"/>
  </w:num>
  <w:num w:numId="11" w16cid:durableId="370375362">
    <w:abstractNumId w:val="5"/>
  </w:num>
  <w:num w:numId="12" w16cid:durableId="833687002">
    <w:abstractNumId w:val="4"/>
  </w:num>
  <w:num w:numId="13" w16cid:durableId="928805469">
    <w:abstractNumId w:val="14"/>
  </w:num>
  <w:num w:numId="14" w16cid:durableId="310444096">
    <w:abstractNumId w:val="8"/>
  </w:num>
  <w:num w:numId="15" w16cid:durableId="992686145">
    <w:abstractNumId w:val="13"/>
  </w:num>
  <w:num w:numId="16" w16cid:durableId="517813352">
    <w:abstractNumId w:val="16"/>
  </w:num>
  <w:num w:numId="17" w16cid:durableId="773861115">
    <w:abstractNumId w:val="3"/>
  </w:num>
  <w:num w:numId="18" w16cid:durableId="1959330338">
    <w:abstractNumId w:val="2"/>
  </w:num>
  <w:num w:numId="19" w16cid:durableId="1594819171">
    <w:abstractNumId w:val="10"/>
  </w:num>
  <w:num w:numId="20" w16cid:durableId="20548853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MyNTAyNDY1tDA3MzNT0lEKTi0uzszPAykwrAUANJzT3SwAAAA="/>
  </w:docVars>
  <w:rsids>
    <w:rsidRoot w:val="00A9707D"/>
    <w:rsid w:val="000011CD"/>
    <w:rsid w:val="00001B7B"/>
    <w:rsid w:val="00001FAB"/>
    <w:rsid w:val="00004F33"/>
    <w:rsid w:val="00006A36"/>
    <w:rsid w:val="00007199"/>
    <w:rsid w:val="00011123"/>
    <w:rsid w:val="00011AFF"/>
    <w:rsid w:val="000123C7"/>
    <w:rsid w:val="00013769"/>
    <w:rsid w:val="00016F8C"/>
    <w:rsid w:val="00017F39"/>
    <w:rsid w:val="000229DC"/>
    <w:rsid w:val="00022A58"/>
    <w:rsid w:val="000233FB"/>
    <w:rsid w:val="00024932"/>
    <w:rsid w:val="00024F8C"/>
    <w:rsid w:val="00030322"/>
    <w:rsid w:val="0003040A"/>
    <w:rsid w:val="00031740"/>
    <w:rsid w:val="00032B42"/>
    <w:rsid w:val="00033408"/>
    <w:rsid w:val="0003361C"/>
    <w:rsid w:val="00034836"/>
    <w:rsid w:val="00035BF1"/>
    <w:rsid w:val="00036013"/>
    <w:rsid w:val="00037225"/>
    <w:rsid w:val="00037FA3"/>
    <w:rsid w:val="000440BD"/>
    <w:rsid w:val="00044871"/>
    <w:rsid w:val="00045127"/>
    <w:rsid w:val="00045714"/>
    <w:rsid w:val="00047A30"/>
    <w:rsid w:val="00051F86"/>
    <w:rsid w:val="00056403"/>
    <w:rsid w:val="00056941"/>
    <w:rsid w:val="0005730E"/>
    <w:rsid w:val="000600EC"/>
    <w:rsid w:val="00062F3C"/>
    <w:rsid w:val="00064421"/>
    <w:rsid w:val="00064B63"/>
    <w:rsid w:val="000674CD"/>
    <w:rsid w:val="00070E92"/>
    <w:rsid w:val="00073176"/>
    <w:rsid w:val="000749DF"/>
    <w:rsid w:val="00074ED1"/>
    <w:rsid w:val="00076B7D"/>
    <w:rsid w:val="000809E4"/>
    <w:rsid w:val="00081667"/>
    <w:rsid w:val="00083332"/>
    <w:rsid w:val="00083A22"/>
    <w:rsid w:val="000852B4"/>
    <w:rsid w:val="00086FB0"/>
    <w:rsid w:val="000928FA"/>
    <w:rsid w:val="00092FB2"/>
    <w:rsid w:val="0009317C"/>
    <w:rsid w:val="00094B8C"/>
    <w:rsid w:val="00095FCF"/>
    <w:rsid w:val="000978B8"/>
    <w:rsid w:val="000A1765"/>
    <w:rsid w:val="000A202C"/>
    <w:rsid w:val="000A542D"/>
    <w:rsid w:val="000A5573"/>
    <w:rsid w:val="000B13EB"/>
    <w:rsid w:val="000B28E7"/>
    <w:rsid w:val="000B49E8"/>
    <w:rsid w:val="000B4C88"/>
    <w:rsid w:val="000B4F01"/>
    <w:rsid w:val="000C0082"/>
    <w:rsid w:val="000D121D"/>
    <w:rsid w:val="000D2F28"/>
    <w:rsid w:val="000D341A"/>
    <w:rsid w:val="000D4D66"/>
    <w:rsid w:val="000E173B"/>
    <w:rsid w:val="000E30DD"/>
    <w:rsid w:val="000E370F"/>
    <w:rsid w:val="000E3B93"/>
    <w:rsid w:val="000E3EC9"/>
    <w:rsid w:val="000E40B1"/>
    <w:rsid w:val="000E513F"/>
    <w:rsid w:val="000E526C"/>
    <w:rsid w:val="000E52BF"/>
    <w:rsid w:val="000E7D0A"/>
    <w:rsid w:val="000F0FDC"/>
    <w:rsid w:val="000F50AB"/>
    <w:rsid w:val="000F5BEE"/>
    <w:rsid w:val="000F7B13"/>
    <w:rsid w:val="001026C7"/>
    <w:rsid w:val="0010358A"/>
    <w:rsid w:val="001045FD"/>
    <w:rsid w:val="001049C1"/>
    <w:rsid w:val="0010613C"/>
    <w:rsid w:val="001078C4"/>
    <w:rsid w:val="001116A1"/>
    <w:rsid w:val="001148D8"/>
    <w:rsid w:val="00120347"/>
    <w:rsid w:val="00120DFD"/>
    <w:rsid w:val="00124BC2"/>
    <w:rsid w:val="0012561B"/>
    <w:rsid w:val="00131CA3"/>
    <w:rsid w:val="001346FE"/>
    <w:rsid w:val="00135DE2"/>
    <w:rsid w:val="00140E0A"/>
    <w:rsid w:val="001445EF"/>
    <w:rsid w:val="00144797"/>
    <w:rsid w:val="00146466"/>
    <w:rsid w:val="0014767E"/>
    <w:rsid w:val="001519BE"/>
    <w:rsid w:val="001522B2"/>
    <w:rsid w:val="00153810"/>
    <w:rsid w:val="00155D91"/>
    <w:rsid w:val="00156FB0"/>
    <w:rsid w:val="00157A4D"/>
    <w:rsid w:val="0016024E"/>
    <w:rsid w:val="00161E9C"/>
    <w:rsid w:val="00162D64"/>
    <w:rsid w:val="001703F0"/>
    <w:rsid w:val="001704A1"/>
    <w:rsid w:val="00171104"/>
    <w:rsid w:val="001741D4"/>
    <w:rsid w:val="00176A77"/>
    <w:rsid w:val="00177CB0"/>
    <w:rsid w:val="00177D3C"/>
    <w:rsid w:val="00180DBA"/>
    <w:rsid w:val="00183086"/>
    <w:rsid w:val="00184460"/>
    <w:rsid w:val="00185C78"/>
    <w:rsid w:val="00185D38"/>
    <w:rsid w:val="00192D10"/>
    <w:rsid w:val="00192EB5"/>
    <w:rsid w:val="00193D32"/>
    <w:rsid w:val="00194361"/>
    <w:rsid w:val="00194618"/>
    <w:rsid w:val="0019533A"/>
    <w:rsid w:val="00196F7F"/>
    <w:rsid w:val="001A0575"/>
    <w:rsid w:val="001A061F"/>
    <w:rsid w:val="001A0B78"/>
    <w:rsid w:val="001A12BF"/>
    <w:rsid w:val="001A18AD"/>
    <w:rsid w:val="001A2784"/>
    <w:rsid w:val="001A3C4D"/>
    <w:rsid w:val="001A511A"/>
    <w:rsid w:val="001A6486"/>
    <w:rsid w:val="001A693B"/>
    <w:rsid w:val="001A7B55"/>
    <w:rsid w:val="001B0002"/>
    <w:rsid w:val="001B54C7"/>
    <w:rsid w:val="001B590F"/>
    <w:rsid w:val="001B5E4E"/>
    <w:rsid w:val="001C473D"/>
    <w:rsid w:val="001C5465"/>
    <w:rsid w:val="001C57CD"/>
    <w:rsid w:val="001C5BF6"/>
    <w:rsid w:val="001C6185"/>
    <w:rsid w:val="001C73CF"/>
    <w:rsid w:val="001C73D2"/>
    <w:rsid w:val="001C79CC"/>
    <w:rsid w:val="001E154F"/>
    <w:rsid w:val="001E24E3"/>
    <w:rsid w:val="001E53F1"/>
    <w:rsid w:val="001E57DD"/>
    <w:rsid w:val="001F0A13"/>
    <w:rsid w:val="001F2370"/>
    <w:rsid w:val="001F2CC1"/>
    <w:rsid w:val="001F3007"/>
    <w:rsid w:val="001F7D7A"/>
    <w:rsid w:val="0020044F"/>
    <w:rsid w:val="00201D5E"/>
    <w:rsid w:val="00206208"/>
    <w:rsid w:val="00206799"/>
    <w:rsid w:val="00207821"/>
    <w:rsid w:val="00207C89"/>
    <w:rsid w:val="00212759"/>
    <w:rsid w:val="00213787"/>
    <w:rsid w:val="002150FB"/>
    <w:rsid w:val="00215FA9"/>
    <w:rsid w:val="002209E5"/>
    <w:rsid w:val="00222F4A"/>
    <w:rsid w:val="002248DA"/>
    <w:rsid w:val="00224A26"/>
    <w:rsid w:val="002250B0"/>
    <w:rsid w:val="0022550F"/>
    <w:rsid w:val="00226EBC"/>
    <w:rsid w:val="00226F5A"/>
    <w:rsid w:val="0023097D"/>
    <w:rsid w:val="00230E55"/>
    <w:rsid w:val="002341D1"/>
    <w:rsid w:val="00236B40"/>
    <w:rsid w:val="002374EB"/>
    <w:rsid w:val="002422DC"/>
    <w:rsid w:val="00244C15"/>
    <w:rsid w:val="00247975"/>
    <w:rsid w:val="00252372"/>
    <w:rsid w:val="002524CF"/>
    <w:rsid w:val="00252BB8"/>
    <w:rsid w:val="00254D6F"/>
    <w:rsid w:val="0025530B"/>
    <w:rsid w:val="002555B6"/>
    <w:rsid w:val="00260198"/>
    <w:rsid w:val="0026275B"/>
    <w:rsid w:val="00262BA0"/>
    <w:rsid w:val="00263D6A"/>
    <w:rsid w:val="00264CB1"/>
    <w:rsid w:val="00266A9E"/>
    <w:rsid w:val="002674DC"/>
    <w:rsid w:val="00267AD2"/>
    <w:rsid w:val="00273110"/>
    <w:rsid w:val="00273EAC"/>
    <w:rsid w:val="002751E0"/>
    <w:rsid w:val="00275634"/>
    <w:rsid w:val="002757B7"/>
    <w:rsid w:val="00280847"/>
    <w:rsid w:val="00281681"/>
    <w:rsid w:val="0028199E"/>
    <w:rsid w:val="00282841"/>
    <w:rsid w:val="00282A85"/>
    <w:rsid w:val="00282DE5"/>
    <w:rsid w:val="0028319D"/>
    <w:rsid w:val="002838D9"/>
    <w:rsid w:val="002842BC"/>
    <w:rsid w:val="002848EE"/>
    <w:rsid w:val="00285CF9"/>
    <w:rsid w:val="002908B5"/>
    <w:rsid w:val="00291D57"/>
    <w:rsid w:val="00293225"/>
    <w:rsid w:val="00293D28"/>
    <w:rsid w:val="00294495"/>
    <w:rsid w:val="002944B5"/>
    <w:rsid w:val="00294E1D"/>
    <w:rsid w:val="002954E7"/>
    <w:rsid w:val="00295655"/>
    <w:rsid w:val="002A261E"/>
    <w:rsid w:val="002A4559"/>
    <w:rsid w:val="002B1101"/>
    <w:rsid w:val="002B327F"/>
    <w:rsid w:val="002B4D8F"/>
    <w:rsid w:val="002C15B4"/>
    <w:rsid w:val="002C2936"/>
    <w:rsid w:val="002C64B4"/>
    <w:rsid w:val="002C7021"/>
    <w:rsid w:val="002C7033"/>
    <w:rsid w:val="002C7AE2"/>
    <w:rsid w:val="002C7BCA"/>
    <w:rsid w:val="002D0316"/>
    <w:rsid w:val="002D0D8A"/>
    <w:rsid w:val="002D4663"/>
    <w:rsid w:val="002D4F08"/>
    <w:rsid w:val="002D6884"/>
    <w:rsid w:val="002D6C43"/>
    <w:rsid w:val="002D6E04"/>
    <w:rsid w:val="002D6E94"/>
    <w:rsid w:val="002D71CC"/>
    <w:rsid w:val="002D72AC"/>
    <w:rsid w:val="002E18D1"/>
    <w:rsid w:val="002E1BB9"/>
    <w:rsid w:val="002E3D27"/>
    <w:rsid w:val="002E47FC"/>
    <w:rsid w:val="002E4B77"/>
    <w:rsid w:val="002E5AF9"/>
    <w:rsid w:val="002ED616"/>
    <w:rsid w:val="002F1A59"/>
    <w:rsid w:val="002F27DA"/>
    <w:rsid w:val="002F4155"/>
    <w:rsid w:val="00301975"/>
    <w:rsid w:val="00301D40"/>
    <w:rsid w:val="003033AF"/>
    <w:rsid w:val="00303571"/>
    <w:rsid w:val="00305412"/>
    <w:rsid w:val="0030763F"/>
    <w:rsid w:val="00310222"/>
    <w:rsid w:val="00311B5D"/>
    <w:rsid w:val="003125ED"/>
    <w:rsid w:val="00313829"/>
    <w:rsid w:val="00313FE7"/>
    <w:rsid w:val="00314A12"/>
    <w:rsid w:val="00315D01"/>
    <w:rsid w:val="003172C7"/>
    <w:rsid w:val="003175A5"/>
    <w:rsid w:val="0031E37A"/>
    <w:rsid w:val="00322F5D"/>
    <w:rsid w:val="00324FE5"/>
    <w:rsid w:val="00326C3E"/>
    <w:rsid w:val="00327EE8"/>
    <w:rsid w:val="00330A0E"/>
    <w:rsid w:val="0033369F"/>
    <w:rsid w:val="00334240"/>
    <w:rsid w:val="00334DAA"/>
    <w:rsid w:val="00336BC6"/>
    <w:rsid w:val="00336BCF"/>
    <w:rsid w:val="00340911"/>
    <w:rsid w:val="003425F3"/>
    <w:rsid w:val="003427EE"/>
    <w:rsid w:val="0034641C"/>
    <w:rsid w:val="00347AC8"/>
    <w:rsid w:val="003509E7"/>
    <w:rsid w:val="00351CD4"/>
    <w:rsid w:val="0035275C"/>
    <w:rsid w:val="0035369D"/>
    <w:rsid w:val="00354C68"/>
    <w:rsid w:val="00360ED6"/>
    <w:rsid w:val="003610CC"/>
    <w:rsid w:val="00361163"/>
    <w:rsid w:val="00364ACC"/>
    <w:rsid w:val="00366367"/>
    <w:rsid w:val="00367708"/>
    <w:rsid w:val="003732E9"/>
    <w:rsid w:val="00375516"/>
    <w:rsid w:val="003762E9"/>
    <w:rsid w:val="003764C0"/>
    <w:rsid w:val="003764F1"/>
    <w:rsid w:val="00376FDB"/>
    <w:rsid w:val="003773AC"/>
    <w:rsid w:val="00382FF5"/>
    <w:rsid w:val="00383536"/>
    <w:rsid w:val="00383844"/>
    <w:rsid w:val="00384AD6"/>
    <w:rsid w:val="003850E9"/>
    <w:rsid w:val="00385484"/>
    <w:rsid w:val="00385EC2"/>
    <w:rsid w:val="00387270"/>
    <w:rsid w:val="00390E3A"/>
    <w:rsid w:val="00390F7A"/>
    <w:rsid w:val="00395631"/>
    <w:rsid w:val="003A0B78"/>
    <w:rsid w:val="003A0C67"/>
    <w:rsid w:val="003A28CC"/>
    <w:rsid w:val="003A514D"/>
    <w:rsid w:val="003A531B"/>
    <w:rsid w:val="003A6DEC"/>
    <w:rsid w:val="003A749B"/>
    <w:rsid w:val="003A796B"/>
    <w:rsid w:val="003B0B9B"/>
    <w:rsid w:val="003B2B18"/>
    <w:rsid w:val="003B3336"/>
    <w:rsid w:val="003B4492"/>
    <w:rsid w:val="003B44F1"/>
    <w:rsid w:val="003B44FF"/>
    <w:rsid w:val="003B4627"/>
    <w:rsid w:val="003B64C3"/>
    <w:rsid w:val="003C254F"/>
    <w:rsid w:val="003C36BF"/>
    <w:rsid w:val="003C3CF1"/>
    <w:rsid w:val="003C6BB7"/>
    <w:rsid w:val="003D0D77"/>
    <w:rsid w:val="003D0E09"/>
    <w:rsid w:val="003D3FF4"/>
    <w:rsid w:val="003D4C3D"/>
    <w:rsid w:val="003D4DED"/>
    <w:rsid w:val="003D6775"/>
    <w:rsid w:val="003D7D77"/>
    <w:rsid w:val="003E182D"/>
    <w:rsid w:val="003E1F9D"/>
    <w:rsid w:val="003E730F"/>
    <w:rsid w:val="003E73A2"/>
    <w:rsid w:val="003F18CA"/>
    <w:rsid w:val="003F3C34"/>
    <w:rsid w:val="004006E1"/>
    <w:rsid w:val="0040123C"/>
    <w:rsid w:val="004029B8"/>
    <w:rsid w:val="0040482A"/>
    <w:rsid w:val="004113B2"/>
    <w:rsid w:val="00411B74"/>
    <w:rsid w:val="004120B7"/>
    <w:rsid w:val="004124CC"/>
    <w:rsid w:val="004129A5"/>
    <w:rsid w:val="00412E8D"/>
    <w:rsid w:val="00413AA5"/>
    <w:rsid w:val="004145A7"/>
    <w:rsid w:val="004152BD"/>
    <w:rsid w:val="004162C0"/>
    <w:rsid w:val="00417980"/>
    <w:rsid w:val="004224BA"/>
    <w:rsid w:val="00424070"/>
    <w:rsid w:val="004249E5"/>
    <w:rsid w:val="00424CAD"/>
    <w:rsid w:val="004264C0"/>
    <w:rsid w:val="004302D5"/>
    <w:rsid w:val="004319B8"/>
    <w:rsid w:val="0043356B"/>
    <w:rsid w:val="004360C2"/>
    <w:rsid w:val="0044041A"/>
    <w:rsid w:val="0044510D"/>
    <w:rsid w:val="00446851"/>
    <w:rsid w:val="00447F6A"/>
    <w:rsid w:val="00450610"/>
    <w:rsid w:val="00452247"/>
    <w:rsid w:val="004525E7"/>
    <w:rsid w:val="00457E26"/>
    <w:rsid w:val="0046104E"/>
    <w:rsid w:val="004627D3"/>
    <w:rsid w:val="00462A07"/>
    <w:rsid w:val="00464409"/>
    <w:rsid w:val="00465457"/>
    <w:rsid w:val="00471818"/>
    <w:rsid w:val="004728EF"/>
    <w:rsid w:val="0047525C"/>
    <w:rsid w:val="00477259"/>
    <w:rsid w:val="00480C44"/>
    <w:rsid w:val="00481310"/>
    <w:rsid w:val="004814B1"/>
    <w:rsid w:val="004821E3"/>
    <w:rsid w:val="00483CAE"/>
    <w:rsid w:val="004848AF"/>
    <w:rsid w:val="00485562"/>
    <w:rsid w:val="00486080"/>
    <w:rsid w:val="00486939"/>
    <w:rsid w:val="004873CD"/>
    <w:rsid w:val="00490E9C"/>
    <w:rsid w:val="004912E5"/>
    <w:rsid w:val="00491C90"/>
    <w:rsid w:val="00491E6E"/>
    <w:rsid w:val="0049291C"/>
    <w:rsid w:val="00493F56"/>
    <w:rsid w:val="00495B7D"/>
    <w:rsid w:val="00496CF9"/>
    <w:rsid w:val="00497432"/>
    <w:rsid w:val="004A3527"/>
    <w:rsid w:val="004A3E0F"/>
    <w:rsid w:val="004A48B9"/>
    <w:rsid w:val="004A4C0D"/>
    <w:rsid w:val="004A7EED"/>
    <w:rsid w:val="004B5606"/>
    <w:rsid w:val="004B568D"/>
    <w:rsid w:val="004B77DE"/>
    <w:rsid w:val="004C4C0A"/>
    <w:rsid w:val="004C5CD1"/>
    <w:rsid w:val="004C72EC"/>
    <w:rsid w:val="004D3155"/>
    <w:rsid w:val="004D766E"/>
    <w:rsid w:val="004D7AB0"/>
    <w:rsid w:val="004E02AA"/>
    <w:rsid w:val="004E14B4"/>
    <w:rsid w:val="004E27E2"/>
    <w:rsid w:val="004E3B3A"/>
    <w:rsid w:val="004E4608"/>
    <w:rsid w:val="004E49A4"/>
    <w:rsid w:val="004F2C61"/>
    <w:rsid w:val="004F4C40"/>
    <w:rsid w:val="004F5891"/>
    <w:rsid w:val="004F7EBD"/>
    <w:rsid w:val="0050095C"/>
    <w:rsid w:val="00507321"/>
    <w:rsid w:val="0050793C"/>
    <w:rsid w:val="00511AC9"/>
    <w:rsid w:val="005127F2"/>
    <w:rsid w:val="00512BD9"/>
    <w:rsid w:val="00512DEA"/>
    <w:rsid w:val="00513677"/>
    <w:rsid w:val="00514266"/>
    <w:rsid w:val="005144E7"/>
    <w:rsid w:val="00514AB1"/>
    <w:rsid w:val="005153BC"/>
    <w:rsid w:val="00515DD3"/>
    <w:rsid w:val="005175BE"/>
    <w:rsid w:val="005207FD"/>
    <w:rsid w:val="00521BCC"/>
    <w:rsid w:val="00521CAB"/>
    <w:rsid w:val="00521E59"/>
    <w:rsid w:val="00522065"/>
    <w:rsid w:val="00525B80"/>
    <w:rsid w:val="00526964"/>
    <w:rsid w:val="00530811"/>
    <w:rsid w:val="005317C5"/>
    <w:rsid w:val="00531DF4"/>
    <w:rsid w:val="005358CE"/>
    <w:rsid w:val="005362C0"/>
    <w:rsid w:val="00540DEB"/>
    <w:rsid w:val="005454EA"/>
    <w:rsid w:val="00545FCD"/>
    <w:rsid w:val="005469B0"/>
    <w:rsid w:val="0054772F"/>
    <w:rsid w:val="00550AE0"/>
    <w:rsid w:val="00550F4B"/>
    <w:rsid w:val="00551CE9"/>
    <w:rsid w:val="005520CF"/>
    <w:rsid w:val="00552462"/>
    <w:rsid w:val="00553A6F"/>
    <w:rsid w:val="00554FEE"/>
    <w:rsid w:val="005557A5"/>
    <w:rsid w:val="00557892"/>
    <w:rsid w:val="00564661"/>
    <w:rsid w:val="005668D7"/>
    <w:rsid w:val="00574ED7"/>
    <w:rsid w:val="00576FD6"/>
    <w:rsid w:val="005820CC"/>
    <w:rsid w:val="005834CD"/>
    <w:rsid w:val="0058468A"/>
    <w:rsid w:val="00584E27"/>
    <w:rsid w:val="00584E2F"/>
    <w:rsid w:val="0059003A"/>
    <w:rsid w:val="00590452"/>
    <w:rsid w:val="005933D4"/>
    <w:rsid w:val="0059457F"/>
    <w:rsid w:val="00596D32"/>
    <w:rsid w:val="005A04B0"/>
    <w:rsid w:val="005A110E"/>
    <w:rsid w:val="005A193C"/>
    <w:rsid w:val="005A44FA"/>
    <w:rsid w:val="005A5652"/>
    <w:rsid w:val="005B00E9"/>
    <w:rsid w:val="005B3B0D"/>
    <w:rsid w:val="005B4870"/>
    <w:rsid w:val="005B4B8E"/>
    <w:rsid w:val="005B5092"/>
    <w:rsid w:val="005B5BCC"/>
    <w:rsid w:val="005B6C4C"/>
    <w:rsid w:val="005B6E0B"/>
    <w:rsid w:val="005C1012"/>
    <w:rsid w:val="005C10AC"/>
    <w:rsid w:val="005C1520"/>
    <w:rsid w:val="005C1891"/>
    <w:rsid w:val="005C22BE"/>
    <w:rsid w:val="005C2497"/>
    <w:rsid w:val="005C281D"/>
    <w:rsid w:val="005C3435"/>
    <w:rsid w:val="005C57C9"/>
    <w:rsid w:val="005C659D"/>
    <w:rsid w:val="005D30F2"/>
    <w:rsid w:val="005D3E55"/>
    <w:rsid w:val="005D4735"/>
    <w:rsid w:val="005D637A"/>
    <w:rsid w:val="005E4865"/>
    <w:rsid w:val="005E57B5"/>
    <w:rsid w:val="005E91C4"/>
    <w:rsid w:val="005F3C77"/>
    <w:rsid w:val="005F478D"/>
    <w:rsid w:val="005F5704"/>
    <w:rsid w:val="005F7A5B"/>
    <w:rsid w:val="005F7F99"/>
    <w:rsid w:val="00601627"/>
    <w:rsid w:val="00601D80"/>
    <w:rsid w:val="00601D8C"/>
    <w:rsid w:val="0060230F"/>
    <w:rsid w:val="00610107"/>
    <w:rsid w:val="00612C44"/>
    <w:rsid w:val="00612F8D"/>
    <w:rsid w:val="00614778"/>
    <w:rsid w:val="006151D1"/>
    <w:rsid w:val="00616375"/>
    <w:rsid w:val="006167C8"/>
    <w:rsid w:val="00616881"/>
    <w:rsid w:val="006232C3"/>
    <w:rsid w:val="00624DF0"/>
    <w:rsid w:val="00625638"/>
    <w:rsid w:val="0062689E"/>
    <w:rsid w:val="00630B79"/>
    <w:rsid w:val="00630C7E"/>
    <w:rsid w:val="0063267C"/>
    <w:rsid w:val="006330EB"/>
    <w:rsid w:val="00633141"/>
    <w:rsid w:val="00633206"/>
    <w:rsid w:val="00635EEA"/>
    <w:rsid w:val="00637E32"/>
    <w:rsid w:val="00642BA0"/>
    <w:rsid w:val="006430E8"/>
    <w:rsid w:val="00647ADF"/>
    <w:rsid w:val="006502F4"/>
    <w:rsid w:val="00651745"/>
    <w:rsid w:val="006529FC"/>
    <w:rsid w:val="00661ABD"/>
    <w:rsid w:val="00664502"/>
    <w:rsid w:val="00664726"/>
    <w:rsid w:val="00664805"/>
    <w:rsid w:val="00665153"/>
    <w:rsid w:val="00665ED9"/>
    <w:rsid w:val="00666313"/>
    <w:rsid w:val="00666712"/>
    <w:rsid w:val="0066777A"/>
    <w:rsid w:val="00667DFE"/>
    <w:rsid w:val="00670C77"/>
    <w:rsid w:val="00671AFF"/>
    <w:rsid w:val="006725EE"/>
    <w:rsid w:val="006738F2"/>
    <w:rsid w:val="0067458C"/>
    <w:rsid w:val="00674979"/>
    <w:rsid w:val="006810E4"/>
    <w:rsid w:val="00681C87"/>
    <w:rsid w:val="006854ED"/>
    <w:rsid w:val="00685808"/>
    <w:rsid w:val="00685FE8"/>
    <w:rsid w:val="006862AC"/>
    <w:rsid w:val="0068B457"/>
    <w:rsid w:val="00690849"/>
    <w:rsid w:val="00690DBA"/>
    <w:rsid w:val="00694265"/>
    <w:rsid w:val="00694C4D"/>
    <w:rsid w:val="00695030"/>
    <w:rsid w:val="00695F9F"/>
    <w:rsid w:val="006969F9"/>
    <w:rsid w:val="00696D05"/>
    <w:rsid w:val="006A06B8"/>
    <w:rsid w:val="006A0984"/>
    <w:rsid w:val="006A0EEA"/>
    <w:rsid w:val="006A2F0A"/>
    <w:rsid w:val="006A307B"/>
    <w:rsid w:val="006A35D2"/>
    <w:rsid w:val="006B152B"/>
    <w:rsid w:val="006B490D"/>
    <w:rsid w:val="006B6036"/>
    <w:rsid w:val="006B648E"/>
    <w:rsid w:val="006B6E4D"/>
    <w:rsid w:val="006C1DE7"/>
    <w:rsid w:val="006C1E05"/>
    <w:rsid w:val="006C1F04"/>
    <w:rsid w:val="006C2970"/>
    <w:rsid w:val="006C35A6"/>
    <w:rsid w:val="006C3991"/>
    <w:rsid w:val="006C43A6"/>
    <w:rsid w:val="006C6044"/>
    <w:rsid w:val="006C7AAA"/>
    <w:rsid w:val="006D135C"/>
    <w:rsid w:val="006D25C1"/>
    <w:rsid w:val="006D46E8"/>
    <w:rsid w:val="006D63A5"/>
    <w:rsid w:val="006D6A30"/>
    <w:rsid w:val="006E0FE0"/>
    <w:rsid w:val="006E2292"/>
    <w:rsid w:val="006E7745"/>
    <w:rsid w:val="006F142F"/>
    <w:rsid w:val="006F1B4F"/>
    <w:rsid w:val="006F1C7F"/>
    <w:rsid w:val="006F2AF3"/>
    <w:rsid w:val="006F3592"/>
    <w:rsid w:val="006F397C"/>
    <w:rsid w:val="006F3C55"/>
    <w:rsid w:val="006F5A9E"/>
    <w:rsid w:val="0070007F"/>
    <w:rsid w:val="007001C2"/>
    <w:rsid w:val="0070118A"/>
    <w:rsid w:val="007015E6"/>
    <w:rsid w:val="0070258F"/>
    <w:rsid w:val="00703436"/>
    <w:rsid w:val="007039F9"/>
    <w:rsid w:val="00704CD1"/>
    <w:rsid w:val="00704E06"/>
    <w:rsid w:val="007059ED"/>
    <w:rsid w:val="00711B4B"/>
    <w:rsid w:val="00713A8B"/>
    <w:rsid w:val="00716A5B"/>
    <w:rsid w:val="00717954"/>
    <w:rsid w:val="00720072"/>
    <w:rsid w:val="0072160B"/>
    <w:rsid w:val="00722C2A"/>
    <w:rsid w:val="0072349F"/>
    <w:rsid w:val="00723C6E"/>
    <w:rsid w:val="007279A4"/>
    <w:rsid w:val="00727E87"/>
    <w:rsid w:val="00731931"/>
    <w:rsid w:val="007363FB"/>
    <w:rsid w:val="007366AB"/>
    <w:rsid w:val="00736F66"/>
    <w:rsid w:val="00740BDE"/>
    <w:rsid w:val="00742D8F"/>
    <w:rsid w:val="00743B21"/>
    <w:rsid w:val="00744D5F"/>
    <w:rsid w:val="007455FE"/>
    <w:rsid w:val="00746CEA"/>
    <w:rsid w:val="007508AB"/>
    <w:rsid w:val="00750A20"/>
    <w:rsid w:val="0075254E"/>
    <w:rsid w:val="00753C63"/>
    <w:rsid w:val="00753D60"/>
    <w:rsid w:val="0075490B"/>
    <w:rsid w:val="00755476"/>
    <w:rsid w:val="00757ACC"/>
    <w:rsid w:val="0076133A"/>
    <w:rsid w:val="0076423C"/>
    <w:rsid w:val="007676B9"/>
    <w:rsid w:val="007678F4"/>
    <w:rsid w:val="00775D61"/>
    <w:rsid w:val="007763E8"/>
    <w:rsid w:val="00777564"/>
    <w:rsid w:val="00784715"/>
    <w:rsid w:val="00785368"/>
    <w:rsid w:val="00785BF4"/>
    <w:rsid w:val="007871E2"/>
    <w:rsid w:val="0079313E"/>
    <w:rsid w:val="00793423"/>
    <w:rsid w:val="0079396C"/>
    <w:rsid w:val="00793D8D"/>
    <w:rsid w:val="007955EA"/>
    <w:rsid w:val="00797AAD"/>
    <w:rsid w:val="007A29ED"/>
    <w:rsid w:val="007A339F"/>
    <w:rsid w:val="007A3613"/>
    <w:rsid w:val="007A3C6C"/>
    <w:rsid w:val="007A4285"/>
    <w:rsid w:val="007A4FA0"/>
    <w:rsid w:val="007A6297"/>
    <w:rsid w:val="007A6937"/>
    <w:rsid w:val="007A6E57"/>
    <w:rsid w:val="007A7D89"/>
    <w:rsid w:val="007B3C07"/>
    <w:rsid w:val="007B403B"/>
    <w:rsid w:val="007B533D"/>
    <w:rsid w:val="007B7069"/>
    <w:rsid w:val="007C1420"/>
    <w:rsid w:val="007C1608"/>
    <w:rsid w:val="007C1AB6"/>
    <w:rsid w:val="007C1FDD"/>
    <w:rsid w:val="007C392E"/>
    <w:rsid w:val="007C5E39"/>
    <w:rsid w:val="007C781A"/>
    <w:rsid w:val="007D426F"/>
    <w:rsid w:val="007D6DE1"/>
    <w:rsid w:val="007D7A52"/>
    <w:rsid w:val="007DC201"/>
    <w:rsid w:val="007E236C"/>
    <w:rsid w:val="007E352A"/>
    <w:rsid w:val="007E3C72"/>
    <w:rsid w:val="007E75FD"/>
    <w:rsid w:val="007E7631"/>
    <w:rsid w:val="007F0F34"/>
    <w:rsid w:val="007F2FC4"/>
    <w:rsid w:val="007F3C69"/>
    <w:rsid w:val="007F4E2C"/>
    <w:rsid w:val="007F53DE"/>
    <w:rsid w:val="007F5618"/>
    <w:rsid w:val="007F616C"/>
    <w:rsid w:val="007F6263"/>
    <w:rsid w:val="007F6C10"/>
    <w:rsid w:val="00801C19"/>
    <w:rsid w:val="00804558"/>
    <w:rsid w:val="00805669"/>
    <w:rsid w:val="00805C6A"/>
    <w:rsid w:val="00806D91"/>
    <w:rsid w:val="008133A7"/>
    <w:rsid w:val="008141D0"/>
    <w:rsid w:val="0081551A"/>
    <w:rsid w:val="0081576A"/>
    <w:rsid w:val="00823287"/>
    <w:rsid w:val="00824E98"/>
    <w:rsid w:val="00825E78"/>
    <w:rsid w:val="0082751C"/>
    <w:rsid w:val="00832B51"/>
    <w:rsid w:val="00832F29"/>
    <w:rsid w:val="0083339D"/>
    <w:rsid w:val="00833CA6"/>
    <w:rsid w:val="00834727"/>
    <w:rsid w:val="008354EE"/>
    <w:rsid w:val="00837C64"/>
    <w:rsid w:val="00842A93"/>
    <w:rsid w:val="00845849"/>
    <w:rsid w:val="00846B7F"/>
    <w:rsid w:val="00846E33"/>
    <w:rsid w:val="00851BBE"/>
    <w:rsid w:val="00852E9B"/>
    <w:rsid w:val="00853283"/>
    <w:rsid w:val="008540AC"/>
    <w:rsid w:val="008542D3"/>
    <w:rsid w:val="00854777"/>
    <w:rsid w:val="008557FE"/>
    <w:rsid w:val="0085630F"/>
    <w:rsid w:val="00856A53"/>
    <w:rsid w:val="00857148"/>
    <w:rsid w:val="008621C5"/>
    <w:rsid w:val="008633A0"/>
    <w:rsid w:val="008659CB"/>
    <w:rsid w:val="00866220"/>
    <w:rsid w:val="00866C8B"/>
    <w:rsid w:val="00867F4D"/>
    <w:rsid w:val="008700D3"/>
    <w:rsid w:val="00872776"/>
    <w:rsid w:val="008735F5"/>
    <w:rsid w:val="0087370C"/>
    <w:rsid w:val="008759BA"/>
    <w:rsid w:val="0087638D"/>
    <w:rsid w:val="0088099A"/>
    <w:rsid w:val="00881E8C"/>
    <w:rsid w:val="0088375E"/>
    <w:rsid w:val="00885AFD"/>
    <w:rsid w:val="008903B4"/>
    <w:rsid w:val="0089102C"/>
    <w:rsid w:val="008917F9"/>
    <w:rsid w:val="00893B25"/>
    <w:rsid w:val="00893FD4"/>
    <w:rsid w:val="008943F2"/>
    <w:rsid w:val="00895D5A"/>
    <w:rsid w:val="0089750A"/>
    <w:rsid w:val="0089773C"/>
    <w:rsid w:val="008A0A68"/>
    <w:rsid w:val="008A1AFE"/>
    <w:rsid w:val="008A29D4"/>
    <w:rsid w:val="008A3BA5"/>
    <w:rsid w:val="008A5396"/>
    <w:rsid w:val="008A60D8"/>
    <w:rsid w:val="008A6EF1"/>
    <w:rsid w:val="008A742D"/>
    <w:rsid w:val="008B3425"/>
    <w:rsid w:val="008B3B7D"/>
    <w:rsid w:val="008B3BC0"/>
    <w:rsid w:val="008B3C9F"/>
    <w:rsid w:val="008B3E75"/>
    <w:rsid w:val="008B49EC"/>
    <w:rsid w:val="008B6795"/>
    <w:rsid w:val="008B74A5"/>
    <w:rsid w:val="008C023F"/>
    <w:rsid w:val="008C05B5"/>
    <w:rsid w:val="008C39C6"/>
    <w:rsid w:val="008C4309"/>
    <w:rsid w:val="008C5092"/>
    <w:rsid w:val="008D212B"/>
    <w:rsid w:val="008D21E0"/>
    <w:rsid w:val="008D40E3"/>
    <w:rsid w:val="008D7A2E"/>
    <w:rsid w:val="008E1106"/>
    <w:rsid w:val="008E1130"/>
    <w:rsid w:val="008E32EE"/>
    <w:rsid w:val="008E49E7"/>
    <w:rsid w:val="008E6FB2"/>
    <w:rsid w:val="008F0D67"/>
    <w:rsid w:val="008F1D24"/>
    <w:rsid w:val="008F1D8F"/>
    <w:rsid w:val="008F4915"/>
    <w:rsid w:val="008F4E12"/>
    <w:rsid w:val="008F57B5"/>
    <w:rsid w:val="008F6036"/>
    <w:rsid w:val="008F6BDB"/>
    <w:rsid w:val="009017B8"/>
    <w:rsid w:val="00901939"/>
    <w:rsid w:val="00902CC8"/>
    <w:rsid w:val="00906CF0"/>
    <w:rsid w:val="009070F6"/>
    <w:rsid w:val="0090712F"/>
    <w:rsid w:val="00907566"/>
    <w:rsid w:val="00907A83"/>
    <w:rsid w:val="00907E35"/>
    <w:rsid w:val="00907ECC"/>
    <w:rsid w:val="00912373"/>
    <w:rsid w:val="00920933"/>
    <w:rsid w:val="009210BF"/>
    <w:rsid w:val="009212A3"/>
    <w:rsid w:val="0092246A"/>
    <w:rsid w:val="00925949"/>
    <w:rsid w:val="009274F0"/>
    <w:rsid w:val="00927634"/>
    <w:rsid w:val="00927C74"/>
    <w:rsid w:val="009300CD"/>
    <w:rsid w:val="00930F18"/>
    <w:rsid w:val="0093155E"/>
    <w:rsid w:val="00932D4C"/>
    <w:rsid w:val="00933301"/>
    <w:rsid w:val="00934361"/>
    <w:rsid w:val="00934556"/>
    <w:rsid w:val="00936048"/>
    <w:rsid w:val="009373C4"/>
    <w:rsid w:val="00937DAD"/>
    <w:rsid w:val="009405FA"/>
    <w:rsid w:val="0094537E"/>
    <w:rsid w:val="00945FF1"/>
    <w:rsid w:val="00946919"/>
    <w:rsid w:val="00946A57"/>
    <w:rsid w:val="0095013A"/>
    <w:rsid w:val="00951C92"/>
    <w:rsid w:val="00953540"/>
    <w:rsid w:val="00953D1D"/>
    <w:rsid w:val="009573CC"/>
    <w:rsid w:val="00960A02"/>
    <w:rsid w:val="00963036"/>
    <w:rsid w:val="00965A72"/>
    <w:rsid w:val="00965AED"/>
    <w:rsid w:val="0097249B"/>
    <w:rsid w:val="0097392E"/>
    <w:rsid w:val="00973F68"/>
    <w:rsid w:val="00976E0D"/>
    <w:rsid w:val="00977C5D"/>
    <w:rsid w:val="0098206A"/>
    <w:rsid w:val="00983A94"/>
    <w:rsid w:val="0098409F"/>
    <w:rsid w:val="0098649E"/>
    <w:rsid w:val="00987898"/>
    <w:rsid w:val="009879DA"/>
    <w:rsid w:val="00990231"/>
    <w:rsid w:val="00992BDA"/>
    <w:rsid w:val="00993507"/>
    <w:rsid w:val="00993A9B"/>
    <w:rsid w:val="00993E6A"/>
    <w:rsid w:val="00994CA7"/>
    <w:rsid w:val="009958A1"/>
    <w:rsid w:val="009A09A5"/>
    <w:rsid w:val="009A0ECE"/>
    <w:rsid w:val="009A1BAE"/>
    <w:rsid w:val="009A362D"/>
    <w:rsid w:val="009A3A68"/>
    <w:rsid w:val="009A7D70"/>
    <w:rsid w:val="009B0B1B"/>
    <w:rsid w:val="009B0BD1"/>
    <w:rsid w:val="009B169F"/>
    <w:rsid w:val="009C01C9"/>
    <w:rsid w:val="009C04BB"/>
    <w:rsid w:val="009C0886"/>
    <w:rsid w:val="009C197A"/>
    <w:rsid w:val="009C2294"/>
    <w:rsid w:val="009C334D"/>
    <w:rsid w:val="009C6411"/>
    <w:rsid w:val="009C6ACA"/>
    <w:rsid w:val="009C6C67"/>
    <w:rsid w:val="009D1ED5"/>
    <w:rsid w:val="009D3FF5"/>
    <w:rsid w:val="009D4630"/>
    <w:rsid w:val="009D4A63"/>
    <w:rsid w:val="009D5D13"/>
    <w:rsid w:val="009D62D7"/>
    <w:rsid w:val="009D778A"/>
    <w:rsid w:val="009D781A"/>
    <w:rsid w:val="009E1E17"/>
    <w:rsid w:val="009E2180"/>
    <w:rsid w:val="009E244F"/>
    <w:rsid w:val="009E3DE7"/>
    <w:rsid w:val="009E3EAB"/>
    <w:rsid w:val="009E564C"/>
    <w:rsid w:val="009E56DF"/>
    <w:rsid w:val="009F210C"/>
    <w:rsid w:val="009F2423"/>
    <w:rsid w:val="009F3CB1"/>
    <w:rsid w:val="009F60BA"/>
    <w:rsid w:val="00A009D6"/>
    <w:rsid w:val="00A02B6E"/>
    <w:rsid w:val="00A06486"/>
    <w:rsid w:val="00A06F76"/>
    <w:rsid w:val="00A0707A"/>
    <w:rsid w:val="00A077B5"/>
    <w:rsid w:val="00A11E3B"/>
    <w:rsid w:val="00A12B06"/>
    <w:rsid w:val="00A132D4"/>
    <w:rsid w:val="00A15C2E"/>
    <w:rsid w:val="00A21F90"/>
    <w:rsid w:val="00A26BF0"/>
    <w:rsid w:val="00A26C65"/>
    <w:rsid w:val="00A27211"/>
    <w:rsid w:val="00A30729"/>
    <w:rsid w:val="00A30799"/>
    <w:rsid w:val="00A31B6A"/>
    <w:rsid w:val="00A31DBA"/>
    <w:rsid w:val="00A3260D"/>
    <w:rsid w:val="00A328BA"/>
    <w:rsid w:val="00A33FB9"/>
    <w:rsid w:val="00A36396"/>
    <w:rsid w:val="00A36699"/>
    <w:rsid w:val="00A36984"/>
    <w:rsid w:val="00A37061"/>
    <w:rsid w:val="00A377C5"/>
    <w:rsid w:val="00A37D4D"/>
    <w:rsid w:val="00A41E38"/>
    <w:rsid w:val="00A42303"/>
    <w:rsid w:val="00A424CB"/>
    <w:rsid w:val="00A44446"/>
    <w:rsid w:val="00A44C2D"/>
    <w:rsid w:val="00A46DBB"/>
    <w:rsid w:val="00A4728E"/>
    <w:rsid w:val="00A4782D"/>
    <w:rsid w:val="00A5098C"/>
    <w:rsid w:val="00A50AEC"/>
    <w:rsid w:val="00A50C10"/>
    <w:rsid w:val="00A51799"/>
    <w:rsid w:val="00A5269C"/>
    <w:rsid w:val="00A52A21"/>
    <w:rsid w:val="00A52ACF"/>
    <w:rsid w:val="00A52BCB"/>
    <w:rsid w:val="00A52EA8"/>
    <w:rsid w:val="00A5320F"/>
    <w:rsid w:val="00A53699"/>
    <w:rsid w:val="00A54714"/>
    <w:rsid w:val="00A55E98"/>
    <w:rsid w:val="00A57369"/>
    <w:rsid w:val="00A57CDB"/>
    <w:rsid w:val="00A60212"/>
    <w:rsid w:val="00A66847"/>
    <w:rsid w:val="00A67E84"/>
    <w:rsid w:val="00A67F88"/>
    <w:rsid w:val="00A70237"/>
    <w:rsid w:val="00A71B8E"/>
    <w:rsid w:val="00A7415C"/>
    <w:rsid w:val="00A74BFD"/>
    <w:rsid w:val="00A75315"/>
    <w:rsid w:val="00A754EE"/>
    <w:rsid w:val="00A803EB"/>
    <w:rsid w:val="00A80A70"/>
    <w:rsid w:val="00A8452F"/>
    <w:rsid w:val="00A90A3A"/>
    <w:rsid w:val="00A90B21"/>
    <w:rsid w:val="00A90CB1"/>
    <w:rsid w:val="00A92122"/>
    <w:rsid w:val="00A94199"/>
    <w:rsid w:val="00A94A2B"/>
    <w:rsid w:val="00A9707D"/>
    <w:rsid w:val="00A97628"/>
    <w:rsid w:val="00AA166A"/>
    <w:rsid w:val="00AA247D"/>
    <w:rsid w:val="00AA2EAD"/>
    <w:rsid w:val="00AA53BA"/>
    <w:rsid w:val="00AA5EA6"/>
    <w:rsid w:val="00AA6128"/>
    <w:rsid w:val="00AB0D68"/>
    <w:rsid w:val="00AB3CC2"/>
    <w:rsid w:val="00AB40C9"/>
    <w:rsid w:val="00AB5429"/>
    <w:rsid w:val="00AB5CFE"/>
    <w:rsid w:val="00AB7409"/>
    <w:rsid w:val="00AC1915"/>
    <w:rsid w:val="00AC1B2D"/>
    <w:rsid w:val="00AC387C"/>
    <w:rsid w:val="00AC3FA0"/>
    <w:rsid w:val="00AC4EAD"/>
    <w:rsid w:val="00AD0377"/>
    <w:rsid w:val="00AD06D9"/>
    <w:rsid w:val="00AD1995"/>
    <w:rsid w:val="00AD42D8"/>
    <w:rsid w:val="00AD6E51"/>
    <w:rsid w:val="00AE0F93"/>
    <w:rsid w:val="00AE1020"/>
    <w:rsid w:val="00AE14C3"/>
    <w:rsid w:val="00AE3CDD"/>
    <w:rsid w:val="00AE4F5F"/>
    <w:rsid w:val="00AE5200"/>
    <w:rsid w:val="00AE6CA9"/>
    <w:rsid w:val="00AF3022"/>
    <w:rsid w:val="00AF5205"/>
    <w:rsid w:val="00AF6207"/>
    <w:rsid w:val="00B004C2"/>
    <w:rsid w:val="00B049FB"/>
    <w:rsid w:val="00B0678D"/>
    <w:rsid w:val="00B07D86"/>
    <w:rsid w:val="00B10A24"/>
    <w:rsid w:val="00B13513"/>
    <w:rsid w:val="00B138E8"/>
    <w:rsid w:val="00B14137"/>
    <w:rsid w:val="00B144D7"/>
    <w:rsid w:val="00B14CF9"/>
    <w:rsid w:val="00B15E08"/>
    <w:rsid w:val="00B15F5F"/>
    <w:rsid w:val="00B16344"/>
    <w:rsid w:val="00B20AEE"/>
    <w:rsid w:val="00B22EF2"/>
    <w:rsid w:val="00B2385F"/>
    <w:rsid w:val="00B23CE5"/>
    <w:rsid w:val="00B25981"/>
    <w:rsid w:val="00B26BAC"/>
    <w:rsid w:val="00B3153B"/>
    <w:rsid w:val="00B321F5"/>
    <w:rsid w:val="00B33030"/>
    <w:rsid w:val="00B33A63"/>
    <w:rsid w:val="00B36D2B"/>
    <w:rsid w:val="00B42322"/>
    <w:rsid w:val="00B4250D"/>
    <w:rsid w:val="00B42AC5"/>
    <w:rsid w:val="00B43F92"/>
    <w:rsid w:val="00B43FFB"/>
    <w:rsid w:val="00B443B8"/>
    <w:rsid w:val="00B45156"/>
    <w:rsid w:val="00B45298"/>
    <w:rsid w:val="00B45A14"/>
    <w:rsid w:val="00B502B1"/>
    <w:rsid w:val="00B52410"/>
    <w:rsid w:val="00B52D25"/>
    <w:rsid w:val="00B53C72"/>
    <w:rsid w:val="00B53EDE"/>
    <w:rsid w:val="00B57E06"/>
    <w:rsid w:val="00B611F9"/>
    <w:rsid w:val="00B627CE"/>
    <w:rsid w:val="00B62EF7"/>
    <w:rsid w:val="00B654E0"/>
    <w:rsid w:val="00B66503"/>
    <w:rsid w:val="00B66AA4"/>
    <w:rsid w:val="00B66ADF"/>
    <w:rsid w:val="00B67D4B"/>
    <w:rsid w:val="00B703FD"/>
    <w:rsid w:val="00B705C4"/>
    <w:rsid w:val="00B70ABF"/>
    <w:rsid w:val="00B713A4"/>
    <w:rsid w:val="00B72576"/>
    <w:rsid w:val="00B726FC"/>
    <w:rsid w:val="00B73515"/>
    <w:rsid w:val="00B76D28"/>
    <w:rsid w:val="00B8095D"/>
    <w:rsid w:val="00B83BC0"/>
    <w:rsid w:val="00B8412A"/>
    <w:rsid w:val="00B86B04"/>
    <w:rsid w:val="00B902C7"/>
    <w:rsid w:val="00B90463"/>
    <w:rsid w:val="00B91D54"/>
    <w:rsid w:val="00B930D3"/>
    <w:rsid w:val="00B96CBA"/>
    <w:rsid w:val="00BA3ACA"/>
    <w:rsid w:val="00BA496A"/>
    <w:rsid w:val="00BA5AE8"/>
    <w:rsid w:val="00BA7440"/>
    <w:rsid w:val="00BA791F"/>
    <w:rsid w:val="00BB0E9C"/>
    <w:rsid w:val="00BB1347"/>
    <w:rsid w:val="00BB15D6"/>
    <w:rsid w:val="00BB17A9"/>
    <w:rsid w:val="00BB3D90"/>
    <w:rsid w:val="00BB46AF"/>
    <w:rsid w:val="00BB5BAD"/>
    <w:rsid w:val="00BB71B3"/>
    <w:rsid w:val="00BB726E"/>
    <w:rsid w:val="00BB749B"/>
    <w:rsid w:val="00BC0006"/>
    <w:rsid w:val="00BC0BC6"/>
    <w:rsid w:val="00BC10E8"/>
    <w:rsid w:val="00BC1ACF"/>
    <w:rsid w:val="00BC3888"/>
    <w:rsid w:val="00BC3D79"/>
    <w:rsid w:val="00BC4CF9"/>
    <w:rsid w:val="00BC6BFE"/>
    <w:rsid w:val="00BC7772"/>
    <w:rsid w:val="00BD0E8F"/>
    <w:rsid w:val="00BD13FB"/>
    <w:rsid w:val="00BD1F4D"/>
    <w:rsid w:val="00BD2A55"/>
    <w:rsid w:val="00BD2C7D"/>
    <w:rsid w:val="00BD3D8E"/>
    <w:rsid w:val="00BE118A"/>
    <w:rsid w:val="00BE1A09"/>
    <w:rsid w:val="00BE25BC"/>
    <w:rsid w:val="00BE3AB3"/>
    <w:rsid w:val="00BE3D7E"/>
    <w:rsid w:val="00BE5317"/>
    <w:rsid w:val="00BE569E"/>
    <w:rsid w:val="00BE6292"/>
    <w:rsid w:val="00BE63AB"/>
    <w:rsid w:val="00BE7B6E"/>
    <w:rsid w:val="00BF0717"/>
    <w:rsid w:val="00BF2A32"/>
    <w:rsid w:val="00BF3EC3"/>
    <w:rsid w:val="00BF4929"/>
    <w:rsid w:val="00BF4A80"/>
    <w:rsid w:val="00BF4C12"/>
    <w:rsid w:val="00BF5775"/>
    <w:rsid w:val="00BF749D"/>
    <w:rsid w:val="00BF767B"/>
    <w:rsid w:val="00BF76BE"/>
    <w:rsid w:val="00C0029D"/>
    <w:rsid w:val="00C036D8"/>
    <w:rsid w:val="00C03912"/>
    <w:rsid w:val="00C03CF8"/>
    <w:rsid w:val="00C0785A"/>
    <w:rsid w:val="00C07B16"/>
    <w:rsid w:val="00C104A3"/>
    <w:rsid w:val="00C1059B"/>
    <w:rsid w:val="00C10DEE"/>
    <w:rsid w:val="00C11295"/>
    <w:rsid w:val="00C1258A"/>
    <w:rsid w:val="00C12A0E"/>
    <w:rsid w:val="00C13367"/>
    <w:rsid w:val="00C1387F"/>
    <w:rsid w:val="00C15AA5"/>
    <w:rsid w:val="00C179A5"/>
    <w:rsid w:val="00C2024C"/>
    <w:rsid w:val="00C22289"/>
    <w:rsid w:val="00C236AF"/>
    <w:rsid w:val="00C25C90"/>
    <w:rsid w:val="00C27846"/>
    <w:rsid w:val="00C35AFB"/>
    <w:rsid w:val="00C36395"/>
    <w:rsid w:val="00C407D4"/>
    <w:rsid w:val="00C4312F"/>
    <w:rsid w:val="00C43227"/>
    <w:rsid w:val="00C43335"/>
    <w:rsid w:val="00C43ACF"/>
    <w:rsid w:val="00C44A81"/>
    <w:rsid w:val="00C44E88"/>
    <w:rsid w:val="00C463A2"/>
    <w:rsid w:val="00C465B8"/>
    <w:rsid w:val="00C47EF1"/>
    <w:rsid w:val="00C506EB"/>
    <w:rsid w:val="00C51DFF"/>
    <w:rsid w:val="00C53D5B"/>
    <w:rsid w:val="00C54F90"/>
    <w:rsid w:val="00C5558B"/>
    <w:rsid w:val="00C576F3"/>
    <w:rsid w:val="00C61122"/>
    <w:rsid w:val="00C61617"/>
    <w:rsid w:val="00C63036"/>
    <w:rsid w:val="00C644B9"/>
    <w:rsid w:val="00C64AEB"/>
    <w:rsid w:val="00C653E6"/>
    <w:rsid w:val="00C65B5C"/>
    <w:rsid w:val="00C729DF"/>
    <w:rsid w:val="00C73C3C"/>
    <w:rsid w:val="00C756A5"/>
    <w:rsid w:val="00C76109"/>
    <w:rsid w:val="00C77850"/>
    <w:rsid w:val="00C8048B"/>
    <w:rsid w:val="00C82832"/>
    <w:rsid w:val="00C82C33"/>
    <w:rsid w:val="00C83135"/>
    <w:rsid w:val="00C83ACF"/>
    <w:rsid w:val="00C84A05"/>
    <w:rsid w:val="00C86AF3"/>
    <w:rsid w:val="00C86B4E"/>
    <w:rsid w:val="00C9225B"/>
    <w:rsid w:val="00C93620"/>
    <w:rsid w:val="00C93E39"/>
    <w:rsid w:val="00C942B7"/>
    <w:rsid w:val="00C96C58"/>
    <w:rsid w:val="00C9778F"/>
    <w:rsid w:val="00CA0C88"/>
    <w:rsid w:val="00CA185A"/>
    <w:rsid w:val="00CA1AC1"/>
    <w:rsid w:val="00CA2436"/>
    <w:rsid w:val="00CA628E"/>
    <w:rsid w:val="00CB230C"/>
    <w:rsid w:val="00CB2C62"/>
    <w:rsid w:val="00CB3004"/>
    <w:rsid w:val="00CB498B"/>
    <w:rsid w:val="00CB4D20"/>
    <w:rsid w:val="00CB561A"/>
    <w:rsid w:val="00CB5B5A"/>
    <w:rsid w:val="00CB697D"/>
    <w:rsid w:val="00CB75B5"/>
    <w:rsid w:val="00CB7967"/>
    <w:rsid w:val="00CC4710"/>
    <w:rsid w:val="00CC496A"/>
    <w:rsid w:val="00CC55C4"/>
    <w:rsid w:val="00CC5D54"/>
    <w:rsid w:val="00CC6F6D"/>
    <w:rsid w:val="00CD0625"/>
    <w:rsid w:val="00CD06E2"/>
    <w:rsid w:val="00CD2279"/>
    <w:rsid w:val="00CD30E6"/>
    <w:rsid w:val="00CE2182"/>
    <w:rsid w:val="00CE21A1"/>
    <w:rsid w:val="00CE3EA5"/>
    <w:rsid w:val="00CE7352"/>
    <w:rsid w:val="00CF0CA5"/>
    <w:rsid w:val="00CF0FBA"/>
    <w:rsid w:val="00CF12FE"/>
    <w:rsid w:val="00CF2A18"/>
    <w:rsid w:val="00CF2A28"/>
    <w:rsid w:val="00CF3E72"/>
    <w:rsid w:val="00CF69E4"/>
    <w:rsid w:val="00D00C48"/>
    <w:rsid w:val="00D02039"/>
    <w:rsid w:val="00D0211D"/>
    <w:rsid w:val="00D03B49"/>
    <w:rsid w:val="00D03EF7"/>
    <w:rsid w:val="00D04168"/>
    <w:rsid w:val="00D04C92"/>
    <w:rsid w:val="00D05C4C"/>
    <w:rsid w:val="00D06A5D"/>
    <w:rsid w:val="00D15FA3"/>
    <w:rsid w:val="00D16977"/>
    <w:rsid w:val="00D203E5"/>
    <w:rsid w:val="00D3006F"/>
    <w:rsid w:val="00D3096F"/>
    <w:rsid w:val="00D30C5C"/>
    <w:rsid w:val="00D315A0"/>
    <w:rsid w:val="00D32B26"/>
    <w:rsid w:val="00D33FDF"/>
    <w:rsid w:val="00D34BED"/>
    <w:rsid w:val="00D37D4B"/>
    <w:rsid w:val="00D40741"/>
    <w:rsid w:val="00D40990"/>
    <w:rsid w:val="00D415E3"/>
    <w:rsid w:val="00D43EBE"/>
    <w:rsid w:val="00D43FA0"/>
    <w:rsid w:val="00D44303"/>
    <w:rsid w:val="00D44FD9"/>
    <w:rsid w:val="00D45333"/>
    <w:rsid w:val="00D47A48"/>
    <w:rsid w:val="00D53DAD"/>
    <w:rsid w:val="00D548DD"/>
    <w:rsid w:val="00D57F2A"/>
    <w:rsid w:val="00D62382"/>
    <w:rsid w:val="00D6496B"/>
    <w:rsid w:val="00D663B8"/>
    <w:rsid w:val="00D6693C"/>
    <w:rsid w:val="00D66CF5"/>
    <w:rsid w:val="00D66E32"/>
    <w:rsid w:val="00D67A82"/>
    <w:rsid w:val="00D70E59"/>
    <w:rsid w:val="00D7142E"/>
    <w:rsid w:val="00D71EF8"/>
    <w:rsid w:val="00D726FC"/>
    <w:rsid w:val="00D76255"/>
    <w:rsid w:val="00D76E03"/>
    <w:rsid w:val="00D7757E"/>
    <w:rsid w:val="00D777B3"/>
    <w:rsid w:val="00D77A12"/>
    <w:rsid w:val="00D80139"/>
    <w:rsid w:val="00D80D17"/>
    <w:rsid w:val="00D81AB1"/>
    <w:rsid w:val="00D8736C"/>
    <w:rsid w:val="00D9011E"/>
    <w:rsid w:val="00D910D7"/>
    <w:rsid w:val="00D93AE3"/>
    <w:rsid w:val="00D950D1"/>
    <w:rsid w:val="00D96B65"/>
    <w:rsid w:val="00D96C3E"/>
    <w:rsid w:val="00DA4ACB"/>
    <w:rsid w:val="00DA66B1"/>
    <w:rsid w:val="00DB0355"/>
    <w:rsid w:val="00DB0480"/>
    <w:rsid w:val="00DB0FAD"/>
    <w:rsid w:val="00DB1F29"/>
    <w:rsid w:val="00DB30CC"/>
    <w:rsid w:val="00DB42F6"/>
    <w:rsid w:val="00DB4754"/>
    <w:rsid w:val="00DB4CF3"/>
    <w:rsid w:val="00DB64BB"/>
    <w:rsid w:val="00DB6FBB"/>
    <w:rsid w:val="00DB731A"/>
    <w:rsid w:val="00DC0226"/>
    <w:rsid w:val="00DC08A6"/>
    <w:rsid w:val="00DC3023"/>
    <w:rsid w:val="00DC4AB9"/>
    <w:rsid w:val="00DD0057"/>
    <w:rsid w:val="00DD2545"/>
    <w:rsid w:val="00DD3D68"/>
    <w:rsid w:val="00DD43CB"/>
    <w:rsid w:val="00DD51C9"/>
    <w:rsid w:val="00DE12F1"/>
    <w:rsid w:val="00DE1828"/>
    <w:rsid w:val="00DE700B"/>
    <w:rsid w:val="00DE7AA6"/>
    <w:rsid w:val="00DF04E2"/>
    <w:rsid w:val="00DF4127"/>
    <w:rsid w:val="00DF492B"/>
    <w:rsid w:val="00DF55A2"/>
    <w:rsid w:val="00DF615E"/>
    <w:rsid w:val="00E007D8"/>
    <w:rsid w:val="00E0195D"/>
    <w:rsid w:val="00E01C37"/>
    <w:rsid w:val="00E02087"/>
    <w:rsid w:val="00E05BD3"/>
    <w:rsid w:val="00E07E44"/>
    <w:rsid w:val="00E11D52"/>
    <w:rsid w:val="00E11D59"/>
    <w:rsid w:val="00E121D8"/>
    <w:rsid w:val="00E13206"/>
    <w:rsid w:val="00E14BCD"/>
    <w:rsid w:val="00E14C17"/>
    <w:rsid w:val="00E1641D"/>
    <w:rsid w:val="00E2012D"/>
    <w:rsid w:val="00E21FEA"/>
    <w:rsid w:val="00E23107"/>
    <w:rsid w:val="00E2514D"/>
    <w:rsid w:val="00E2537B"/>
    <w:rsid w:val="00E266DC"/>
    <w:rsid w:val="00E26AD3"/>
    <w:rsid w:val="00E30B47"/>
    <w:rsid w:val="00E30CD4"/>
    <w:rsid w:val="00E30FE6"/>
    <w:rsid w:val="00E33B22"/>
    <w:rsid w:val="00E33ED4"/>
    <w:rsid w:val="00E34ADD"/>
    <w:rsid w:val="00E36B2D"/>
    <w:rsid w:val="00E373E1"/>
    <w:rsid w:val="00E42F12"/>
    <w:rsid w:val="00E4506D"/>
    <w:rsid w:val="00E45FC8"/>
    <w:rsid w:val="00E51397"/>
    <w:rsid w:val="00E5277C"/>
    <w:rsid w:val="00E52B9E"/>
    <w:rsid w:val="00E52C2F"/>
    <w:rsid w:val="00E52F74"/>
    <w:rsid w:val="00E5338E"/>
    <w:rsid w:val="00E53AB4"/>
    <w:rsid w:val="00E53AD8"/>
    <w:rsid w:val="00E53CA1"/>
    <w:rsid w:val="00E53E90"/>
    <w:rsid w:val="00E579F1"/>
    <w:rsid w:val="00E60CFB"/>
    <w:rsid w:val="00E6534E"/>
    <w:rsid w:val="00E66780"/>
    <w:rsid w:val="00E67E46"/>
    <w:rsid w:val="00E71694"/>
    <w:rsid w:val="00E72C5B"/>
    <w:rsid w:val="00E74A1F"/>
    <w:rsid w:val="00E74C02"/>
    <w:rsid w:val="00E774E5"/>
    <w:rsid w:val="00E8031D"/>
    <w:rsid w:val="00E80DF9"/>
    <w:rsid w:val="00E84379"/>
    <w:rsid w:val="00E85587"/>
    <w:rsid w:val="00E87A6C"/>
    <w:rsid w:val="00E87F75"/>
    <w:rsid w:val="00E933C6"/>
    <w:rsid w:val="00E93C7D"/>
    <w:rsid w:val="00E95FCE"/>
    <w:rsid w:val="00E96809"/>
    <w:rsid w:val="00E971BB"/>
    <w:rsid w:val="00EA4B01"/>
    <w:rsid w:val="00EA5F2E"/>
    <w:rsid w:val="00EA682A"/>
    <w:rsid w:val="00EA74A5"/>
    <w:rsid w:val="00EB019F"/>
    <w:rsid w:val="00EB2C66"/>
    <w:rsid w:val="00EB2E0F"/>
    <w:rsid w:val="00EB3A75"/>
    <w:rsid w:val="00EB621C"/>
    <w:rsid w:val="00EC026A"/>
    <w:rsid w:val="00EC245F"/>
    <w:rsid w:val="00EC298E"/>
    <w:rsid w:val="00EC4E53"/>
    <w:rsid w:val="00EC70D4"/>
    <w:rsid w:val="00ED1394"/>
    <w:rsid w:val="00ED24F0"/>
    <w:rsid w:val="00ED2AF5"/>
    <w:rsid w:val="00ED2BB2"/>
    <w:rsid w:val="00ED2D07"/>
    <w:rsid w:val="00ED366C"/>
    <w:rsid w:val="00ED4373"/>
    <w:rsid w:val="00ED6BFF"/>
    <w:rsid w:val="00ED7223"/>
    <w:rsid w:val="00EE1258"/>
    <w:rsid w:val="00EE1414"/>
    <w:rsid w:val="00EE1EBF"/>
    <w:rsid w:val="00EE5BE1"/>
    <w:rsid w:val="00EE7917"/>
    <w:rsid w:val="00EF11B4"/>
    <w:rsid w:val="00EF3AE3"/>
    <w:rsid w:val="00F0052A"/>
    <w:rsid w:val="00F00EA9"/>
    <w:rsid w:val="00F00F82"/>
    <w:rsid w:val="00F01ACC"/>
    <w:rsid w:val="00F01E48"/>
    <w:rsid w:val="00F05226"/>
    <w:rsid w:val="00F070B5"/>
    <w:rsid w:val="00F07545"/>
    <w:rsid w:val="00F10303"/>
    <w:rsid w:val="00F121C0"/>
    <w:rsid w:val="00F1289E"/>
    <w:rsid w:val="00F135AC"/>
    <w:rsid w:val="00F2046C"/>
    <w:rsid w:val="00F22947"/>
    <w:rsid w:val="00F25B5F"/>
    <w:rsid w:val="00F26898"/>
    <w:rsid w:val="00F27F85"/>
    <w:rsid w:val="00F31394"/>
    <w:rsid w:val="00F31E94"/>
    <w:rsid w:val="00F32AD7"/>
    <w:rsid w:val="00F33F18"/>
    <w:rsid w:val="00F364C9"/>
    <w:rsid w:val="00F371F0"/>
    <w:rsid w:val="00F37DD8"/>
    <w:rsid w:val="00F40950"/>
    <w:rsid w:val="00F40EE7"/>
    <w:rsid w:val="00F413B0"/>
    <w:rsid w:val="00F415AD"/>
    <w:rsid w:val="00F444CB"/>
    <w:rsid w:val="00F50C90"/>
    <w:rsid w:val="00F51DB7"/>
    <w:rsid w:val="00F525EF"/>
    <w:rsid w:val="00F52687"/>
    <w:rsid w:val="00F5384F"/>
    <w:rsid w:val="00F5390D"/>
    <w:rsid w:val="00F53ED0"/>
    <w:rsid w:val="00F5472B"/>
    <w:rsid w:val="00F5616A"/>
    <w:rsid w:val="00F60134"/>
    <w:rsid w:val="00F66895"/>
    <w:rsid w:val="00F6693A"/>
    <w:rsid w:val="00F710B5"/>
    <w:rsid w:val="00F72423"/>
    <w:rsid w:val="00F72B4C"/>
    <w:rsid w:val="00F73320"/>
    <w:rsid w:val="00F747E4"/>
    <w:rsid w:val="00F7561E"/>
    <w:rsid w:val="00F81642"/>
    <w:rsid w:val="00F858C8"/>
    <w:rsid w:val="00F86F85"/>
    <w:rsid w:val="00F91699"/>
    <w:rsid w:val="00F91C4E"/>
    <w:rsid w:val="00F963FA"/>
    <w:rsid w:val="00F97DB8"/>
    <w:rsid w:val="00FA07FC"/>
    <w:rsid w:val="00FA1984"/>
    <w:rsid w:val="00FA2F07"/>
    <w:rsid w:val="00FA3B96"/>
    <w:rsid w:val="00FA430B"/>
    <w:rsid w:val="00FA7547"/>
    <w:rsid w:val="00FB06BA"/>
    <w:rsid w:val="00FB1853"/>
    <w:rsid w:val="00FB205F"/>
    <w:rsid w:val="00FB548F"/>
    <w:rsid w:val="00FB63C1"/>
    <w:rsid w:val="00FC1C9C"/>
    <w:rsid w:val="00FC5941"/>
    <w:rsid w:val="00FC5953"/>
    <w:rsid w:val="00FC6E1E"/>
    <w:rsid w:val="00FC6F9D"/>
    <w:rsid w:val="00FC7AC4"/>
    <w:rsid w:val="00FD197D"/>
    <w:rsid w:val="00FD31DE"/>
    <w:rsid w:val="00FD5BDE"/>
    <w:rsid w:val="00FD66BF"/>
    <w:rsid w:val="00FD7B16"/>
    <w:rsid w:val="00FE13BC"/>
    <w:rsid w:val="00FE1EF1"/>
    <w:rsid w:val="00FE3BA8"/>
    <w:rsid w:val="00FE4FE9"/>
    <w:rsid w:val="00FE5ACB"/>
    <w:rsid w:val="00FF0975"/>
    <w:rsid w:val="00FF0FA6"/>
    <w:rsid w:val="00FF1A8D"/>
    <w:rsid w:val="00FF3B7B"/>
    <w:rsid w:val="00FF44B3"/>
    <w:rsid w:val="00FF5010"/>
    <w:rsid w:val="00FF7686"/>
    <w:rsid w:val="00FF77CD"/>
    <w:rsid w:val="0100B531"/>
    <w:rsid w:val="01082C4E"/>
    <w:rsid w:val="0118B830"/>
    <w:rsid w:val="0119C134"/>
    <w:rsid w:val="0132B74E"/>
    <w:rsid w:val="01374A47"/>
    <w:rsid w:val="01430BA3"/>
    <w:rsid w:val="01642427"/>
    <w:rsid w:val="0168570E"/>
    <w:rsid w:val="018D1A68"/>
    <w:rsid w:val="018E7B72"/>
    <w:rsid w:val="018F8CE6"/>
    <w:rsid w:val="019FC511"/>
    <w:rsid w:val="01AAC814"/>
    <w:rsid w:val="01CE3192"/>
    <w:rsid w:val="01E0B7E0"/>
    <w:rsid w:val="0203A889"/>
    <w:rsid w:val="021FB6EE"/>
    <w:rsid w:val="022BEF28"/>
    <w:rsid w:val="02826F11"/>
    <w:rsid w:val="02927D0B"/>
    <w:rsid w:val="02A38A97"/>
    <w:rsid w:val="02A7AEFF"/>
    <w:rsid w:val="02B8EB94"/>
    <w:rsid w:val="02BA1AD2"/>
    <w:rsid w:val="02C4B11B"/>
    <w:rsid w:val="02CBCC4D"/>
    <w:rsid w:val="02D3E79E"/>
    <w:rsid w:val="03453E8E"/>
    <w:rsid w:val="034FE45A"/>
    <w:rsid w:val="034FEEAD"/>
    <w:rsid w:val="035EC35B"/>
    <w:rsid w:val="0365C9F2"/>
    <w:rsid w:val="036CCDBE"/>
    <w:rsid w:val="03883FA0"/>
    <w:rsid w:val="03ADF79F"/>
    <w:rsid w:val="03AF0F32"/>
    <w:rsid w:val="03B6AFF6"/>
    <w:rsid w:val="03BD6FEE"/>
    <w:rsid w:val="03C8712B"/>
    <w:rsid w:val="03DD6243"/>
    <w:rsid w:val="03E9E124"/>
    <w:rsid w:val="041E8CAB"/>
    <w:rsid w:val="043AFD11"/>
    <w:rsid w:val="043CDCA5"/>
    <w:rsid w:val="0477E5C1"/>
    <w:rsid w:val="0496ADF5"/>
    <w:rsid w:val="049A891F"/>
    <w:rsid w:val="049D3CD3"/>
    <w:rsid w:val="04B3D885"/>
    <w:rsid w:val="04B9490D"/>
    <w:rsid w:val="04BE3D76"/>
    <w:rsid w:val="04C3D139"/>
    <w:rsid w:val="04CC13B6"/>
    <w:rsid w:val="04D8EBE6"/>
    <w:rsid w:val="04E8C87D"/>
    <w:rsid w:val="04F1A2A6"/>
    <w:rsid w:val="04F820ED"/>
    <w:rsid w:val="04FED68E"/>
    <w:rsid w:val="054992FA"/>
    <w:rsid w:val="057346C3"/>
    <w:rsid w:val="05777235"/>
    <w:rsid w:val="059FB3EB"/>
    <w:rsid w:val="05ADE7B4"/>
    <w:rsid w:val="05C16C10"/>
    <w:rsid w:val="05D60DC0"/>
    <w:rsid w:val="05F08C56"/>
    <w:rsid w:val="0613B622"/>
    <w:rsid w:val="06167CC6"/>
    <w:rsid w:val="062127E0"/>
    <w:rsid w:val="06481A00"/>
    <w:rsid w:val="064CAD72"/>
    <w:rsid w:val="064F787C"/>
    <w:rsid w:val="06716D33"/>
    <w:rsid w:val="0673CD2D"/>
    <w:rsid w:val="067D3668"/>
    <w:rsid w:val="068010DD"/>
    <w:rsid w:val="0687D4ED"/>
    <w:rsid w:val="06B38399"/>
    <w:rsid w:val="06B655A8"/>
    <w:rsid w:val="06E10F52"/>
    <w:rsid w:val="06F132AE"/>
    <w:rsid w:val="071381A1"/>
    <w:rsid w:val="073E43D2"/>
    <w:rsid w:val="077B1ABE"/>
    <w:rsid w:val="0796A8BB"/>
    <w:rsid w:val="07AF8683"/>
    <w:rsid w:val="07BF2469"/>
    <w:rsid w:val="07D0C28B"/>
    <w:rsid w:val="07F1D950"/>
    <w:rsid w:val="08074AAE"/>
    <w:rsid w:val="082D5655"/>
    <w:rsid w:val="085BB0C3"/>
    <w:rsid w:val="087C3F7F"/>
    <w:rsid w:val="08844C72"/>
    <w:rsid w:val="088A2119"/>
    <w:rsid w:val="08B8B284"/>
    <w:rsid w:val="08C4B820"/>
    <w:rsid w:val="08CA1FD4"/>
    <w:rsid w:val="08F01BDD"/>
    <w:rsid w:val="09171819"/>
    <w:rsid w:val="092513CF"/>
    <w:rsid w:val="092A02CA"/>
    <w:rsid w:val="09302FCE"/>
    <w:rsid w:val="093FCC4A"/>
    <w:rsid w:val="094B56E4"/>
    <w:rsid w:val="09537329"/>
    <w:rsid w:val="09809E36"/>
    <w:rsid w:val="0985B217"/>
    <w:rsid w:val="09A6B565"/>
    <w:rsid w:val="09A8F375"/>
    <w:rsid w:val="09C0B4C7"/>
    <w:rsid w:val="09DD5CA1"/>
    <w:rsid w:val="09E30BAF"/>
    <w:rsid w:val="09EDF66A"/>
    <w:rsid w:val="0A05740A"/>
    <w:rsid w:val="0A25B447"/>
    <w:rsid w:val="0A337E96"/>
    <w:rsid w:val="0A4003E8"/>
    <w:rsid w:val="0A43A1CB"/>
    <w:rsid w:val="0A4CB056"/>
    <w:rsid w:val="0A5120BA"/>
    <w:rsid w:val="0A648722"/>
    <w:rsid w:val="0A734A93"/>
    <w:rsid w:val="0A9162AF"/>
    <w:rsid w:val="0AA26965"/>
    <w:rsid w:val="0AB94708"/>
    <w:rsid w:val="0AC07CEA"/>
    <w:rsid w:val="0B091748"/>
    <w:rsid w:val="0B172620"/>
    <w:rsid w:val="0B172B0C"/>
    <w:rsid w:val="0B1AD14F"/>
    <w:rsid w:val="0B733C68"/>
    <w:rsid w:val="0B73655B"/>
    <w:rsid w:val="0B76E4AB"/>
    <w:rsid w:val="0B8A0434"/>
    <w:rsid w:val="0B8A6F56"/>
    <w:rsid w:val="0B8F109C"/>
    <w:rsid w:val="0BA1446B"/>
    <w:rsid w:val="0BB4F34D"/>
    <w:rsid w:val="0BB7C73F"/>
    <w:rsid w:val="0BCD0993"/>
    <w:rsid w:val="0BD6E4BF"/>
    <w:rsid w:val="0BD9FA5E"/>
    <w:rsid w:val="0BE17D1C"/>
    <w:rsid w:val="0BE2CC1D"/>
    <w:rsid w:val="0C1F0B8F"/>
    <w:rsid w:val="0C236FF5"/>
    <w:rsid w:val="0C40A055"/>
    <w:rsid w:val="0C85FBB2"/>
    <w:rsid w:val="0C87C802"/>
    <w:rsid w:val="0C8C9892"/>
    <w:rsid w:val="0C8F2F4B"/>
    <w:rsid w:val="0C9A9C78"/>
    <w:rsid w:val="0CA195B5"/>
    <w:rsid w:val="0CB29B09"/>
    <w:rsid w:val="0CB6A1B0"/>
    <w:rsid w:val="0CD76E97"/>
    <w:rsid w:val="0CE2F35B"/>
    <w:rsid w:val="0CF1899B"/>
    <w:rsid w:val="0D05A5A1"/>
    <w:rsid w:val="0D3ACB7F"/>
    <w:rsid w:val="0D3AFA41"/>
    <w:rsid w:val="0D64DF5E"/>
    <w:rsid w:val="0D75DEC0"/>
    <w:rsid w:val="0D863F86"/>
    <w:rsid w:val="0D8D250E"/>
    <w:rsid w:val="0D9F8056"/>
    <w:rsid w:val="0DAF2DCB"/>
    <w:rsid w:val="0DC9D5B4"/>
    <w:rsid w:val="0E3B904E"/>
    <w:rsid w:val="0E486A93"/>
    <w:rsid w:val="0E525F4A"/>
    <w:rsid w:val="0E57F5B4"/>
    <w:rsid w:val="0E9E2E8C"/>
    <w:rsid w:val="0EB8807C"/>
    <w:rsid w:val="0EEB2212"/>
    <w:rsid w:val="0EF6D5F2"/>
    <w:rsid w:val="0EF90850"/>
    <w:rsid w:val="0F216D02"/>
    <w:rsid w:val="0F5516D8"/>
    <w:rsid w:val="0F5652F9"/>
    <w:rsid w:val="0F697834"/>
    <w:rsid w:val="0F7E572A"/>
    <w:rsid w:val="0F944FF9"/>
    <w:rsid w:val="0F98F971"/>
    <w:rsid w:val="0F9C9646"/>
    <w:rsid w:val="0FBA9868"/>
    <w:rsid w:val="0FDE0F83"/>
    <w:rsid w:val="0FE41455"/>
    <w:rsid w:val="10069236"/>
    <w:rsid w:val="100B3AF8"/>
    <w:rsid w:val="100B991C"/>
    <w:rsid w:val="1030F441"/>
    <w:rsid w:val="1038B00E"/>
    <w:rsid w:val="1051DB39"/>
    <w:rsid w:val="105967D5"/>
    <w:rsid w:val="105D7557"/>
    <w:rsid w:val="10758282"/>
    <w:rsid w:val="1088645E"/>
    <w:rsid w:val="10A13D56"/>
    <w:rsid w:val="10AD867A"/>
    <w:rsid w:val="10B086C0"/>
    <w:rsid w:val="10B75D02"/>
    <w:rsid w:val="10B7B71E"/>
    <w:rsid w:val="10C59FC9"/>
    <w:rsid w:val="10C69B5B"/>
    <w:rsid w:val="112AAB55"/>
    <w:rsid w:val="11302267"/>
    <w:rsid w:val="116AC3CA"/>
    <w:rsid w:val="1175F80D"/>
    <w:rsid w:val="117F4577"/>
    <w:rsid w:val="1197DE7B"/>
    <w:rsid w:val="11D0BD26"/>
    <w:rsid w:val="11E01D5B"/>
    <w:rsid w:val="120DD993"/>
    <w:rsid w:val="127C696D"/>
    <w:rsid w:val="128CA44D"/>
    <w:rsid w:val="129240DE"/>
    <w:rsid w:val="129FBE68"/>
    <w:rsid w:val="12A76926"/>
    <w:rsid w:val="12A92042"/>
    <w:rsid w:val="12AE3F75"/>
    <w:rsid w:val="12C53653"/>
    <w:rsid w:val="12DBA123"/>
    <w:rsid w:val="13163154"/>
    <w:rsid w:val="1316B241"/>
    <w:rsid w:val="13262D40"/>
    <w:rsid w:val="133DF947"/>
    <w:rsid w:val="1374E725"/>
    <w:rsid w:val="13B49303"/>
    <w:rsid w:val="13CB727D"/>
    <w:rsid w:val="13D4C146"/>
    <w:rsid w:val="13E5273C"/>
    <w:rsid w:val="1410B7BA"/>
    <w:rsid w:val="1429C798"/>
    <w:rsid w:val="1430503A"/>
    <w:rsid w:val="143A6A8D"/>
    <w:rsid w:val="144914F6"/>
    <w:rsid w:val="1450611E"/>
    <w:rsid w:val="149C44AD"/>
    <w:rsid w:val="14AC118D"/>
    <w:rsid w:val="14CE8CB1"/>
    <w:rsid w:val="14D0FCA9"/>
    <w:rsid w:val="14D49340"/>
    <w:rsid w:val="14D9BF10"/>
    <w:rsid w:val="14E18A40"/>
    <w:rsid w:val="14F730BE"/>
    <w:rsid w:val="15254C5C"/>
    <w:rsid w:val="1536D213"/>
    <w:rsid w:val="1571CC11"/>
    <w:rsid w:val="157D98A1"/>
    <w:rsid w:val="15AED498"/>
    <w:rsid w:val="15D8BC56"/>
    <w:rsid w:val="15E0E288"/>
    <w:rsid w:val="15E45FF0"/>
    <w:rsid w:val="15EB38D9"/>
    <w:rsid w:val="15F09E77"/>
    <w:rsid w:val="15FC19EA"/>
    <w:rsid w:val="1640B5D9"/>
    <w:rsid w:val="1649771E"/>
    <w:rsid w:val="165265A5"/>
    <w:rsid w:val="1659E6EF"/>
    <w:rsid w:val="166F1BD8"/>
    <w:rsid w:val="1677A4E5"/>
    <w:rsid w:val="167F847D"/>
    <w:rsid w:val="16857B5F"/>
    <w:rsid w:val="16955F45"/>
    <w:rsid w:val="16E1A923"/>
    <w:rsid w:val="16ECE5E0"/>
    <w:rsid w:val="1706534F"/>
    <w:rsid w:val="173F8B0C"/>
    <w:rsid w:val="17629741"/>
    <w:rsid w:val="176EC67E"/>
    <w:rsid w:val="17950EE8"/>
    <w:rsid w:val="17B32F73"/>
    <w:rsid w:val="17D7B479"/>
    <w:rsid w:val="181632AE"/>
    <w:rsid w:val="182100E8"/>
    <w:rsid w:val="1841DB38"/>
    <w:rsid w:val="1843C4C1"/>
    <w:rsid w:val="18518E50"/>
    <w:rsid w:val="18F7F957"/>
    <w:rsid w:val="190399C6"/>
    <w:rsid w:val="191642AE"/>
    <w:rsid w:val="193A3F13"/>
    <w:rsid w:val="195606FE"/>
    <w:rsid w:val="1975B910"/>
    <w:rsid w:val="19924E83"/>
    <w:rsid w:val="19988FCA"/>
    <w:rsid w:val="19BCB08E"/>
    <w:rsid w:val="19CB9202"/>
    <w:rsid w:val="19DA20DA"/>
    <w:rsid w:val="19EF80BC"/>
    <w:rsid w:val="19F3E855"/>
    <w:rsid w:val="19FC6A17"/>
    <w:rsid w:val="1A23855A"/>
    <w:rsid w:val="1A292B56"/>
    <w:rsid w:val="1A5468C0"/>
    <w:rsid w:val="1A70148D"/>
    <w:rsid w:val="1A72B43C"/>
    <w:rsid w:val="1A8F67B8"/>
    <w:rsid w:val="1A98765A"/>
    <w:rsid w:val="1AB6DBB8"/>
    <w:rsid w:val="1ACC559B"/>
    <w:rsid w:val="1ACD3E7E"/>
    <w:rsid w:val="1ACE2F1A"/>
    <w:rsid w:val="1AD4D68B"/>
    <w:rsid w:val="1AD73685"/>
    <w:rsid w:val="1ADA0CDE"/>
    <w:rsid w:val="1ADEF233"/>
    <w:rsid w:val="1AF0982C"/>
    <w:rsid w:val="1AFA333C"/>
    <w:rsid w:val="1B1A7261"/>
    <w:rsid w:val="1B2EA4A8"/>
    <w:rsid w:val="1B4807BE"/>
    <w:rsid w:val="1B4F0ED9"/>
    <w:rsid w:val="1B55C56F"/>
    <w:rsid w:val="1B75D343"/>
    <w:rsid w:val="1B7BC58E"/>
    <w:rsid w:val="1BB53BC0"/>
    <w:rsid w:val="1BBF6317"/>
    <w:rsid w:val="1BC4F977"/>
    <w:rsid w:val="1BF16F77"/>
    <w:rsid w:val="1BF595F6"/>
    <w:rsid w:val="1C4EB5AC"/>
    <w:rsid w:val="1C5B01CF"/>
    <w:rsid w:val="1C7A852B"/>
    <w:rsid w:val="1CA87ECC"/>
    <w:rsid w:val="1CCDAC31"/>
    <w:rsid w:val="1CF3C46B"/>
    <w:rsid w:val="1CFBD9BA"/>
    <w:rsid w:val="1D1735E4"/>
    <w:rsid w:val="1D2F8C4E"/>
    <w:rsid w:val="1D43A539"/>
    <w:rsid w:val="1D44C8A6"/>
    <w:rsid w:val="1D4CCC24"/>
    <w:rsid w:val="1D4DBF1B"/>
    <w:rsid w:val="1D508C3A"/>
    <w:rsid w:val="1D5E8DDA"/>
    <w:rsid w:val="1D880656"/>
    <w:rsid w:val="1D8C83F1"/>
    <w:rsid w:val="1D8D6C22"/>
    <w:rsid w:val="1D933E4D"/>
    <w:rsid w:val="1DB9E67D"/>
    <w:rsid w:val="1DCACC5D"/>
    <w:rsid w:val="1DDBF5C9"/>
    <w:rsid w:val="1E35C0B2"/>
    <w:rsid w:val="1E7CC912"/>
    <w:rsid w:val="1EA6CE4D"/>
    <w:rsid w:val="1EB30645"/>
    <w:rsid w:val="1EB3E85B"/>
    <w:rsid w:val="1EC24423"/>
    <w:rsid w:val="1ED8B1C7"/>
    <w:rsid w:val="1EF29CBA"/>
    <w:rsid w:val="1F263C1F"/>
    <w:rsid w:val="1F28AEC4"/>
    <w:rsid w:val="1F6C9692"/>
    <w:rsid w:val="1F923462"/>
    <w:rsid w:val="1FB5AA66"/>
    <w:rsid w:val="1FC1DDBB"/>
    <w:rsid w:val="1FCBF6D5"/>
    <w:rsid w:val="1FD86E77"/>
    <w:rsid w:val="1FEAABCD"/>
    <w:rsid w:val="1FFB8610"/>
    <w:rsid w:val="200AE769"/>
    <w:rsid w:val="2057AD04"/>
    <w:rsid w:val="2069F40D"/>
    <w:rsid w:val="206EDDEF"/>
    <w:rsid w:val="20855FDD"/>
    <w:rsid w:val="209D5B0C"/>
    <w:rsid w:val="20B418E1"/>
    <w:rsid w:val="20BAC430"/>
    <w:rsid w:val="20CB9C6E"/>
    <w:rsid w:val="20CDA60C"/>
    <w:rsid w:val="20CECDAB"/>
    <w:rsid w:val="20DCA66C"/>
    <w:rsid w:val="211A63D9"/>
    <w:rsid w:val="212022F9"/>
    <w:rsid w:val="2122B2D1"/>
    <w:rsid w:val="21350B5A"/>
    <w:rsid w:val="215A8A47"/>
    <w:rsid w:val="216712BF"/>
    <w:rsid w:val="216D3DE6"/>
    <w:rsid w:val="216E1B1F"/>
    <w:rsid w:val="2183C950"/>
    <w:rsid w:val="21A666FC"/>
    <w:rsid w:val="21A6EF64"/>
    <w:rsid w:val="21B6133C"/>
    <w:rsid w:val="21D641D5"/>
    <w:rsid w:val="21E541B2"/>
    <w:rsid w:val="221947EA"/>
    <w:rsid w:val="224F14AF"/>
    <w:rsid w:val="2251822C"/>
    <w:rsid w:val="2267CD97"/>
    <w:rsid w:val="227F5DAB"/>
    <w:rsid w:val="229A8E06"/>
    <w:rsid w:val="22AF1A84"/>
    <w:rsid w:val="22CAEB0D"/>
    <w:rsid w:val="22CFD29F"/>
    <w:rsid w:val="22D0DBBB"/>
    <w:rsid w:val="22E07550"/>
    <w:rsid w:val="22FB3EEF"/>
    <w:rsid w:val="23072B0C"/>
    <w:rsid w:val="23157112"/>
    <w:rsid w:val="2317587F"/>
    <w:rsid w:val="231FA9A5"/>
    <w:rsid w:val="2324252F"/>
    <w:rsid w:val="23254378"/>
    <w:rsid w:val="234AEA96"/>
    <w:rsid w:val="2356A22F"/>
    <w:rsid w:val="23752A37"/>
    <w:rsid w:val="23CA67A0"/>
    <w:rsid w:val="23CAB0D1"/>
    <w:rsid w:val="23E8C2E9"/>
    <w:rsid w:val="23EAE510"/>
    <w:rsid w:val="23F9E57C"/>
    <w:rsid w:val="24315491"/>
    <w:rsid w:val="243216FD"/>
    <w:rsid w:val="243A0DE1"/>
    <w:rsid w:val="244817E0"/>
    <w:rsid w:val="2452972F"/>
    <w:rsid w:val="245593DD"/>
    <w:rsid w:val="2457FAC6"/>
    <w:rsid w:val="2458C27A"/>
    <w:rsid w:val="2465A585"/>
    <w:rsid w:val="246B24F7"/>
    <w:rsid w:val="247A111C"/>
    <w:rsid w:val="24A4FDF8"/>
    <w:rsid w:val="24A50236"/>
    <w:rsid w:val="24CAD2F7"/>
    <w:rsid w:val="24CB0BA2"/>
    <w:rsid w:val="24E5C6C1"/>
    <w:rsid w:val="24E73023"/>
    <w:rsid w:val="2508DBE6"/>
    <w:rsid w:val="2519B924"/>
    <w:rsid w:val="25359D00"/>
    <w:rsid w:val="253F1CBE"/>
    <w:rsid w:val="253F9926"/>
    <w:rsid w:val="25408911"/>
    <w:rsid w:val="255E1FC3"/>
    <w:rsid w:val="2576114B"/>
    <w:rsid w:val="258BEED9"/>
    <w:rsid w:val="2597F3DA"/>
    <w:rsid w:val="25A4CEFF"/>
    <w:rsid w:val="25C97924"/>
    <w:rsid w:val="25CA8808"/>
    <w:rsid w:val="25F816CD"/>
    <w:rsid w:val="263CE231"/>
    <w:rsid w:val="26584F6C"/>
    <w:rsid w:val="269DFB1E"/>
    <w:rsid w:val="26D55BB0"/>
    <w:rsid w:val="26D5C31B"/>
    <w:rsid w:val="274A792C"/>
    <w:rsid w:val="27665869"/>
    <w:rsid w:val="27747306"/>
    <w:rsid w:val="279923B0"/>
    <w:rsid w:val="27AEF281"/>
    <w:rsid w:val="27B54C23"/>
    <w:rsid w:val="27C47BAA"/>
    <w:rsid w:val="27CF1B34"/>
    <w:rsid w:val="27E86454"/>
    <w:rsid w:val="27F8B79F"/>
    <w:rsid w:val="27FA1492"/>
    <w:rsid w:val="281C10CB"/>
    <w:rsid w:val="2829496D"/>
    <w:rsid w:val="2832B399"/>
    <w:rsid w:val="284F0E9B"/>
    <w:rsid w:val="285428C2"/>
    <w:rsid w:val="2871F575"/>
    <w:rsid w:val="288BF805"/>
    <w:rsid w:val="28B0FAC5"/>
    <w:rsid w:val="28B4D815"/>
    <w:rsid w:val="28CEBC29"/>
    <w:rsid w:val="28E29CE6"/>
    <w:rsid w:val="28E74671"/>
    <w:rsid w:val="29143882"/>
    <w:rsid w:val="292D60DF"/>
    <w:rsid w:val="2937530D"/>
    <w:rsid w:val="29507F7F"/>
    <w:rsid w:val="2954C0FF"/>
    <w:rsid w:val="295F372F"/>
    <w:rsid w:val="296059C6"/>
    <w:rsid w:val="29787359"/>
    <w:rsid w:val="297D2413"/>
    <w:rsid w:val="298704A7"/>
    <w:rsid w:val="29B39B74"/>
    <w:rsid w:val="29E05BED"/>
    <w:rsid w:val="2A0A3207"/>
    <w:rsid w:val="2A0F43B8"/>
    <w:rsid w:val="2A34460A"/>
    <w:rsid w:val="2A3D516B"/>
    <w:rsid w:val="2A4DB0EA"/>
    <w:rsid w:val="2A5CED38"/>
    <w:rsid w:val="2A671844"/>
    <w:rsid w:val="2A9E7541"/>
    <w:rsid w:val="2AC483EC"/>
    <w:rsid w:val="2AF515FD"/>
    <w:rsid w:val="2B126989"/>
    <w:rsid w:val="2B1589CE"/>
    <w:rsid w:val="2B274057"/>
    <w:rsid w:val="2B77E7FC"/>
    <w:rsid w:val="2B9976D3"/>
    <w:rsid w:val="2BB64BC8"/>
    <w:rsid w:val="2BDF032C"/>
    <w:rsid w:val="2BF5F6F5"/>
    <w:rsid w:val="2C137516"/>
    <w:rsid w:val="2C13A746"/>
    <w:rsid w:val="2C1BCDB8"/>
    <w:rsid w:val="2C2A7FB1"/>
    <w:rsid w:val="2C34985A"/>
    <w:rsid w:val="2C440DBE"/>
    <w:rsid w:val="2C6C4198"/>
    <w:rsid w:val="2C6FBF68"/>
    <w:rsid w:val="2C8F0A83"/>
    <w:rsid w:val="2CB1A619"/>
    <w:rsid w:val="2CB5CFA3"/>
    <w:rsid w:val="2CBBD577"/>
    <w:rsid w:val="2CF44D9C"/>
    <w:rsid w:val="2CFEEF29"/>
    <w:rsid w:val="2D165105"/>
    <w:rsid w:val="2D44FCD9"/>
    <w:rsid w:val="2D89D9D0"/>
    <w:rsid w:val="2D952055"/>
    <w:rsid w:val="2DA22D4C"/>
    <w:rsid w:val="2DAD19BE"/>
    <w:rsid w:val="2DAF77A7"/>
    <w:rsid w:val="2DB5F7CE"/>
    <w:rsid w:val="2DD502A3"/>
    <w:rsid w:val="2DD63C01"/>
    <w:rsid w:val="2DD7F7CD"/>
    <w:rsid w:val="2DE31945"/>
    <w:rsid w:val="2DE7A9A5"/>
    <w:rsid w:val="2DF7D733"/>
    <w:rsid w:val="2DFFA45A"/>
    <w:rsid w:val="2E2D2920"/>
    <w:rsid w:val="2E35A721"/>
    <w:rsid w:val="2E50BDB9"/>
    <w:rsid w:val="2E52FA56"/>
    <w:rsid w:val="2E8166AF"/>
    <w:rsid w:val="2E9F2601"/>
    <w:rsid w:val="2EB6BD5A"/>
    <w:rsid w:val="2EDC6651"/>
    <w:rsid w:val="2F3FA76F"/>
    <w:rsid w:val="2F6D4FD7"/>
    <w:rsid w:val="2F73C82E"/>
    <w:rsid w:val="2FE9616E"/>
    <w:rsid w:val="30189843"/>
    <w:rsid w:val="30233CF3"/>
    <w:rsid w:val="30456FF6"/>
    <w:rsid w:val="306437D7"/>
    <w:rsid w:val="30A0D23C"/>
    <w:rsid w:val="30B5EFB1"/>
    <w:rsid w:val="30D16EE4"/>
    <w:rsid w:val="30E2B523"/>
    <w:rsid w:val="3103A0D0"/>
    <w:rsid w:val="3125F40D"/>
    <w:rsid w:val="315A63EC"/>
    <w:rsid w:val="31662704"/>
    <w:rsid w:val="316DCCC1"/>
    <w:rsid w:val="317FE050"/>
    <w:rsid w:val="3181D806"/>
    <w:rsid w:val="3188E9D7"/>
    <w:rsid w:val="3198E14F"/>
    <w:rsid w:val="31BE72E6"/>
    <w:rsid w:val="31CBA6EB"/>
    <w:rsid w:val="3227A557"/>
    <w:rsid w:val="324A4AA8"/>
    <w:rsid w:val="3266F0B9"/>
    <w:rsid w:val="3267F7EB"/>
    <w:rsid w:val="3267FF1D"/>
    <w:rsid w:val="327D6461"/>
    <w:rsid w:val="32828D31"/>
    <w:rsid w:val="328E4A39"/>
    <w:rsid w:val="328FD81B"/>
    <w:rsid w:val="32CA8EAA"/>
    <w:rsid w:val="32E686D5"/>
    <w:rsid w:val="32E6FF85"/>
    <w:rsid w:val="32E7E674"/>
    <w:rsid w:val="32EEED0B"/>
    <w:rsid w:val="32F1FC38"/>
    <w:rsid w:val="32F904F4"/>
    <w:rsid w:val="330C4A67"/>
    <w:rsid w:val="33123851"/>
    <w:rsid w:val="3319BB61"/>
    <w:rsid w:val="336A553A"/>
    <w:rsid w:val="337FBA33"/>
    <w:rsid w:val="3388AF65"/>
    <w:rsid w:val="33A5D5C8"/>
    <w:rsid w:val="33AE7DFC"/>
    <w:rsid w:val="33AFF26A"/>
    <w:rsid w:val="33B8028F"/>
    <w:rsid w:val="33C0CDE3"/>
    <w:rsid w:val="33C19D0E"/>
    <w:rsid w:val="33C83C5F"/>
    <w:rsid w:val="33CB6243"/>
    <w:rsid w:val="33CB7469"/>
    <w:rsid w:val="33DA16EC"/>
    <w:rsid w:val="33EC2762"/>
    <w:rsid w:val="33ECD577"/>
    <w:rsid w:val="33EF5D2B"/>
    <w:rsid w:val="340590CE"/>
    <w:rsid w:val="34184BEE"/>
    <w:rsid w:val="3455F339"/>
    <w:rsid w:val="348CA4B1"/>
    <w:rsid w:val="348EE26F"/>
    <w:rsid w:val="349BF843"/>
    <w:rsid w:val="34AC0EF5"/>
    <w:rsid w:val="34D5D273"/>
    <w:rsid w:val="34FEA303"/>
    <w:rsid w:val="35138F26"/>
    <w:rsid w:val="351E2D88"/>
    <w:rsid w:val="35236AA5"/>
    <w:rsid w:val="35321A40"/>
    <w:rsid w:val="3534FFA1"/>
    <w:rsid w:val="355F19DF"/>
    <w:rsid w:val="3579AF6F"/>
    <w:rsid w:val="358A8033"/>
    <w:rsid w:val="3594EBB5"/>
    <w:rsid w:val="3596803E"/>
    <w:rsid w:val="35A27273"/>
    <w:rsid w:val="35D8CE03"/>
    <w:rsid w:val="35DE4EED"/>
    <w:rsid w:val="35E2627A"/>
    <w:rsid w:val="35E61A99"/>
    <w:rsid w:val="362FDB1E"/>
    <w:rsid w:val="36368852"/>
    <w:rsid w:val="368F17D3"/>
    <w:rsid w:val="368F7B23"/>
    <w:rsid w:val="369D787B"/>
    <w:rsid w:val="36A80449"/>
    <w:rsid w:val="36B6738E"/>
    <w:rsid w:val="36BD2AAF"/>
    <w:rsid w:val="36C766EB"/>
    <w:rsid w:val="36D29241"/>
    <w:rsid w:val="36E0DCFA"/>
    <w:rsid w:val="36F19A8E"/>
    <w:rsid w:val="37209D23"/>
    <w:rsid w:val="376C53A6"/>
    <w:rsid w:val="37789D26"/>
    <w:rsid w:val="378A9C3C"/>
    <w:rsid w:val="3792C1A1"/>
    <w:rsid w:val="37B2720F"/>
    <w:rsid w:val="37BA70A8"/>
    <w:rsid w:val="37C1C6B6"/>
    <w:rsid w:val="37D6D143"/>
    <w:rsid w:val="37E86E6A"/>
    <w:rsid w:val="37FF9F55"/>
    <w:rsid w:val="38082E64"/>
    <w:rsid w:val="382573AF"/>
    <w:rsid w:val="38304E9B"/>
    <w:rsid w:val="383F02E5"/>
    <w:rsid w:val="38AE8312"/>
    <w:rsid w:val="38CE8E4F"/>
    <w:rsid w:val="39203A1A"/>
    <w:rsid w:val="392855FC"/>
    <w:rsid w:val="393028A2"/>
    <w:rsid w:val="39372862"/>
    <w:rsid w:val="393F23CA"/>
    <w:rsid w:val="394A6DE6"/>
    <w:rsid w:val="3986BA98"/>
    <w:rsid w:val="3992902C"/>
    <w:rsid w:val="39BB5A84"/>
    <w:rsid w:val="39BF7A89"/>
    <w:rsid w:val="39CF32AF"/>
    <w:rsid w:val="39D977C7"/>
    <w:rsid w:val="3A015B08"/>
    <w:rsid w:val="3A1F77DC"/>
    <w:rsid w:val="3A2A3EC7"/>
    <w:rsid w:val="3A3FDBEA"/>
    <w:rsid w:val="3A47CA9C"/>
    <w:rsid w:val="3A704A5E"/>
    <w:rsid w:val="3AA7D9C1"/>
    <w:rsid w:val="3AB79E33"/>
    <w:rsid w:val="3AB84F53"/>
    <w:rsid w:val="3AC7F96C"/>
    <w:rsid w:val="3AFDDBB9"/>
    <w:rsid w:val="3B025BB5"/>
    <w:rsid w:val="3B149E4F"/>
    <w:rsid w:val="3B227500"/>
    <w:rsid w:val="3B26E418"/>
    <w:rsid w:val="3B2A6784"/>
    <w:rsid w:val="3B4681C9"/>
    <w:rsid w:val="3B4A1E52"/>
    <w:rsid w:val="3B4F6CE8"/>
    <w:rsid w:val="3B79F5B2"/>
    <w:rsid w:val="3B7B5DF7"/>
    <w:rsid w:val="3B84C3EC"/>
    <w:rsid w:val="3BBA9E93"/>
    <w:rsid w:val="3BBD7F00"/>
    <w:rsid w:val="3BC42A1C"/>
    <w:rsid w:val="3BCD7C9F"/>
    <w:rsid w:val="3BE5D5C8"/>
    <w:rsid w:val="3BEEAA45"/>
    <w:rsid w:val="3BFDB671"/>
    <w:rsid w:val="3C05021A"/>
    <w:rsid w:val="3C0EC839"/>
    <w:rsid w:val="3C137D48"/>
    <w:rsid w:val="3C5107CE"/>
    <w:rsid w:val="3C635707"/>
    <w:rsid w:val="3C83CA19"/>
    <w:rsid w:val="3C8FC0E5"/>
    <w:rsid w:val="3CAA7A8A"/>
    <w:rsid w:val="3CF0D57A"/>
    <w:rsid w:val="3CF61187"/>
    <w:rsid w:val="3D080AB1"/>
    <w:rsid w:val="3D2A4655"/>
    <w:rsid w:val="3D2F716C"/>
    <w:rsid w:val="3D46C2A7"/>
    <w:rsid w:val="3D9665DC"/>
    <w:rsid w:val="3DB9FAD8"/>
    <w:rsid w:val="3DE960D2"/>
    <w:rsid w:val="3DFAE109"/>
    <w:rsid w:val="3E29B22C"/>
    <w:rsid w:val="3E319FB2"/>
    <w:rsid w:val="3E35C2FF"/>
    <w:rsid w:val="3E3AF989"/>
    <w:rsid w:val="3E3D573E"/>
    <w:rsid w:val="3E42DA89"/>
    <w:rsid w:val="3E4E3C3C"/>
    <w:rsid w:val="3E74CBEB"/>
    <w:rsid w:val="3E7B3B5B"/>
    <w:rsid w:val="3E8285B6"/>
    <w:rsid w:val="3E884D51"/>
    <w:rsid w:val="3E9872EA"/>
    <w:rsid w:val="3EA2EF93"/>
    <w:rsid w:val="3EB7018B"/>
    <w:rsid w:val="3EC4FDD6"/>
    <w:rsid w:val="3EC8EE26"/>
    <w:rsid w:val="3EE0BE46"/>
    <w:rsid w:val="3EE36CC5"/>
    <w:rsid w:val="3F33EE22"/>
    <w:rsid w:val="3F4E4612"/>
    <w:rsid w:val="3F507432"/>
    <w:rsid w:val="3F6FB669"/>
    <w:rsid w:val="3F964675"/>
    <w:rsid w:val="3FCAC561"/>
    <w:rsid w:val="3FD6A92F"/>
    <w:rsid w:val="3FF071A6"/>
    <w:rsid w:val="3FF52291"/>
    <w:rsid w:val="40668C4B"/>
    <w:rsid w:val="40738B7F"/>
    <w:rsid w:val="40739F7E"/>
    <w:rsid w:val="40ABEAEF"/>
    <w:rsid w:val="40CC5CEA"/>
    <w:rsid w:val="40D8733D"/>
    <w:rsid w:val="40FC7C67"/>
    <w:rsid w:val="410B86CA"/>
    <w:rsid w:val="4123EA38"/>
    <w:rsid w:val="4154EAFB"/>
    <w:rsid w:val="417A7B4B"/>
    <w:rsid w:val="418C4207"/>
    <w:rsid w:val="41940ECA"/>
    <w:rsid w:val="41B827BF"/>
    <w:rsid w:val="41DDFB5B"/>
    <w:rsid w:val="41E9C69E"/>
    <w:rsid w:val="41FC4326"/>
    <w:rsid w:val="420056EF"/>
    <w:rsid w:val="42021AF0"/>
    <w:rsid w:val="424FA1DF"/>
    <w:rsid w:val="426AA37A"/>
    <w:rsid w:val="429642F7"/>
    <w:rsid w:val="4298E46C"/>
    <w:rsid w:val="429F4153"/>
    <w:rsid w:val="42BC8404"/>
    <w:rsid w:val="42C1B3F8"/>
    <w:rsid w:val="42CC1CD1"/>
    <w:rsid w:val="42D7ABBD"/>
    <w:rsid w:val="42E5DE93"/>
    <w:rsid w:val="42F4453D"/>
    <w:rsid w:val="433CDEFF"/>
    <w:rsid w:val="4355F6D9"/>
    <w:rsid w:val="436150AD"/>
    <w:rsid w:val="43ABD928"/>
    <w:rsid w:val="43BF2BF0"/>
    <w:rsid w:val="43D749B5"/>
    <w:rsid w:val="43EDECCD"/>
    <w:rsid w:val="441D5DCB"/>
    <w:rsid w:val="44370E8F"/>
    <w:rsid w:val="4440F765"/>
    <w:rsid w:val="4448CA3E"/>
    <w:rsid w:val="44A297E5"/>
    <w:rsid w:val="44BE5C9A"/>
    <w:rsid w:val="44CFE164"/>
    <w:rsid w:val="44F2A3A9"/>
    <w:rsid w:val="4518B25E"/>
    <w:rsid w:val="452EFCF9"/>
    <w:rsid w:val="45340C98"/>
    <w:rsid w:val="4551474C"/>
    <w:rsid w:val="457CCACE"/>
    <w:rsid w:val="457EAD92"/>
    <w:rsid w:val="458EAB66"/>
    <w:rsid w:val="45ED283C"/>
    <w:rsid w:val="45F954BA"/>
    <w:rsid w:val="460776D1"/>
    <w:rsid w:val="463D1CB9"/>
    <w:rsid w:val="463D3F93"/>
    <w:rsid w:val="46722045"/>
    <w:rsid w:val="4694D3DC"/>
    <w:rsid w:val="46A5EB17"/>
    <w:rsid w:val="46BB2432"/>
    <w:rsid w:val="46C2C5D8"/>
    <w:rsid w:val="470C4ED3"/>
    <w:rsid w:val="474ECD66"/>
    <w:rsid w:val="474FDF63"/>
    <w:rsid w:val="47659014"/>
    <w:rsid w:val="47783DAD"/>
    <w:rsid w:val="47955E5E"/>
    <w:rsid w:val="479B42AE"/>
    <w:rsid w:val="47AFF966"/>
    <w:rsid w:val="47B56FEF"/>
    <w:rsid w:val="47C7B660"/>
    <w:rsid w:val="47CCE7DA"/>
    <w:rsid w:val="47F7D65F"/>
    <w:rsid w:val="484BE68B"/>
    <w:rsid w:val="488F3A1E"/>
    <w:rsid w:val="48CA9978"/>
    <w:rsid w:val="48D7FF40"/>
    <w:rsid w:val="48EA9DC7"/>
    <w:rsid w:val="49320E13"/>
    <w:rsid w:val="495F17F7"/>
    <w:rsid w:val="49AAF02E"/>
    <w:rsid w:val="49B446DA"/>
    <w:rsid w:val="49BC09FE"/>
    <w:rsid w:val="49CACA4A"/>
    <w:rsid w:val="49EA6BAA"/>
    <w:rsid w:val="49F11FA7"/>
    <w:rsid w:val="4A0B68D4"/>
    <w:rsid w:val="4A1B1AAC"/>
    <w:rsid w:val="4A29584F"/>
    <w:rsid w:val="4A7773D0"/>
    <w:rsid w:val="4A7F21F1"/>
    <w:rsid w:val="4AEFF3C6"/>
    <w:rsid w:val="4B1D5D35"/>
    <w:rsid w:val="4B207D5B"/>
    <w:rsid w:val="4B4BE63D"/>
    <w:rsid w:val="4B716EB4"/>
    <w:rsid w:val="4B7622FA"/>
    <w:rsid w:val="4BA19B51"/>
    <w:rsid w:val="4BAC4A19"/>
    <w:rsid w:val="4BB6EB0D"/>
    <w:rsid w:val="4BC58400"/>
    <w:rsid w:val="4BD39C1D"/>
    <w:rsid w:val="4BF14915"/>
    <w:rsid w:val="4BF2E1D0"/>
    <w:rsid w:val="4C1DAEA0"/>
    <w:rsid w:val="4C26E740"/>
    <w:rsid w:val="4C8D6BC0"/>
    <w:rsid w:val="4CB291D8"/>
    <w:rsid w:val="4CB9AF07"/>
    <w:rsid w:val="4CE6AC2C"/>
    <w:rsid w:val="4D0BB1AF"/>
    <w:rsid w:val="4D152C9B"/>
    <w:rsid w:val="4D3C97EA"/>
    <w:rsid w:val="4D5F0ECE"/>
    <w:rsid w:val="4D67F186"/>
    <w:rsid w:val="4D76DBFF"/>
    <w:rsid w:val="4DB03422"/>
    <w:rsid w:val="4DB15C07"/>
    <w:rsid w:val="4DD432A0"/>
    <w:rsid w:val="4DEA4CBA"/>
    <w:rsid w:val="4E0D9ED5"/>
    <w:rsid w:val="4E815FAC"/>
    <w:rsid w:val="4E89E7D7"/>
    <w:rsid w:val="4E9190DB"/>
    <w:rsid w:val="4E933E4E"/>
    <w:rsid w:val="4EBA6382"/>
    <w:rsid w:val="4EF5D082"/>
    <w:rsid w:val="4F13B3F6"/>
    <w:rsid w:val="4F1479EF"/>
    <w:rsid w:val="4F15F717"/>
    <w:rsid w:val="4F3EE8D1"/>
    <w:rsid w:val="4F4A096C"/>
    <w:rsid w:val="4F4A5B0C"/>
    <w:rsid w:val="4F500AFA"/>
    <w:rsid w:val="4F671062"/>
    <w:rsid w:val="4F896E46"/>
    <w:rsid w:val="4FAD962A"/>
    <w:rsid w:val="4FAE31A0"/>
    <w:rsid w:val="4FD9F45A"/>
    <w:rsid w:val="4FF827B8"/>
    <w:rsid w:val="4FFED34A"/>
    <w:rsid w:val="500946CB"/>
    <w:rsid w:val="500CCBE8"/>
    <w:rsid w:val="500FA93C"/>
    <w:rsid w:val="501E1828"/>
    <w:rsid w:val="504CCD5D"/>
    <w:rsid w:val="50716344"/>
    <w:rsid w:val="50D56FC6"/>
    <w:rsid w:val="510F1477"/>
    <w:rsid w:val="512065E8"/>
    <w:rsid w:val="5138A2CA"/>
    <w:rsid w:val="5155A598"/>
    <w:rsid w:val="517776B8"/>
    <w:rsid w:val="517816A7"/>
    <w:rsid w:val="517F643E"/>
    <w:rsid w:val="518E9FCA"/>
    <w:rsid w:val="51D1933F"/>
    <w:rsid w:val="51F582B7"/>
    <w:rsid w:val="521E7F69"/>
    <w:rsid w:val="524BBB0B"/>
    <w:rsid w:val="5259B850"/>
    <w:rsid w:val="526843D7"/>
    <w:rsid w:val="52750074"/>
    <w:rsid w:val="527E0DE8"/>
    <w:rsid w:val="527F317D"/>
    <w:rsid w:val="5284CD2A"/>
    <w:rsid w:val="5289C9E3"/>
    <w:rsid w:val="528A5A21"/>
    <w:rsid w:val="52A366BF"/>
    <w:rsid w:val="52BBA1FA"/>
    <w:rsid w:val="52CDC38D"/>
    <w:rsid w:val="52D00A45"/>
    <w:rsid w:val="52D12873"/>
    <w:rsid w:val="5301DC47"/>
    <w:rsid w:val="5306B1A9"/>
    <w:rsid w:val="534596D8"/>
    <w:rsid w:val="53797871"/>
    <w:rsid w:val="5387219B"/>
    <w:rsid w:val="53902805"/>
    <w:rsid w:val="5391BB15"/>
    <w:rsid w:val="53970BBF"/>
    <w:rsid w:val="539F899F"/>
    <w:rsid w:val="53B455EE"/>
    <w:rsid w:val="53E7FDAF"/>
    <w:rsid w:val="53EDC370"/>
    <w:rsid w:val="53FCA385"/>
    <w:rsid w:val="54015C0D"/>
    <w:rsid w:val="542E254F"/>
    <w:rsid w:val="547748C8"/>
    <w:rsid w:val="5486860C"/>
    <w:rsid w:val="548DDBA9"/>
    <w:rsid w:val="5495DE0A"/>
    <w:rsid w:val="54C5E121"/>
    <w:rsid w:val="54C83FD7"/>
    <w:rsid w:val="54C9DEF7"/>
    <w:rsid w:val="54EEC2A7"/>
    <w:rsid w:val="54FC7CB1"/>
    <w:rsid w:val="5507EB04"/>
    <w:rsid w:val="550F0905"/>
    <w:rsid w:val="5533E5EC"/>
    <w:rsid w:val="5535FCB6"/>
    <w:rsid w:val="5573EFFA"/>
    <w:rsid w:val="55B268DE"/>
    <w:rsid w:val="55C9B682"/>
    <w:rsid w:val="55F31097"/>
    <w:rsid w:val="5654DCDA"/>
    <w:rsid w:val="5655BF3C"/>
    <w:rsid w:val="56643E69"/>
    <w:rsid w:val="56669FEE"/>
    <w:rsid w:val="567E3E88"/>
    <w:rsid w:val="56A7D837"/>
    <w:rsid w:val="56A92DE8"/>
    <w:rsid w:val="56B88724"/>
    <w:rsid w:val="56DDB9BE"/>
    <w:rsid w:val="5716CD5E"/>
    <w:rsid w:val="571C0F1A"/>
    <w:rsid w:val="5731664E"/>
    <w:rsid w:val="57484945"/>
    <w:rsid w:val="5771876D"/>
    <w:rsid w:val="578EBBF1"/>
    <w:rsid w:val="57BB27DF"/>
    <w:rsid w:val="582DA7AD"/>
    <w:rsid w:val="58376FCF"/>
    <w:rsid w:val="58737F6E"/>
    <w:rsid w:val="588B4BE3"/>
    <w:rsid w:val="58923592"/>
    <w:rsid w:val="5894121F"/>
    <w:rsid w:val="58B5BBCB"/>
    <w:rsid w:val="58C3F4E5"/>
    <w:rsid w:val="58CAA7A2"/>
    <w:rsid w:val="58EC95C7"/>
    <w:rsid w:val="58EE25A0"/>
    <w:rsid w:val="58F2DFFA"/>
    <w:rsid w:val="58F5B3D7"/>
    <w:rsid w:val="591593EF"/>
    <w:rsid w:val="596EBCC1"/>
    <w:rsid w:val="597EECB9"/>
    <w:rsid w:val="5981EDE1"/>
    <w:rsid w:val="5982889D"/>
    <w:rsid w:val="5989E963"/>
    <w:rsid w:val="59B5BC09"/>
    <w:rsid w:val="59DB5C27"/>
    <w:rsid w:val="59F33E27"/>
    <w:rsid w:val="5A0FC7D7"/>
    <w:rsid w:val="5A135845"/>
    <w:rsid w:val="5A1F3390"/>
    <w:rsid w:val="5A22E45D"/>
    <w:rsid w:val="5A392BFC"/>
    <w:rsid w:val="5A44E1C5"/>
    <w:rsid w:val="5A582B53"/>
    <w:rsid w:val="5A666DC8"/>
    <w:rsid w:val="5A87A634"/>
    <w:rsid w:val="5A9D66D3"/>
    <w:rsid w:val="5AA52019"/>
    <w:rsid w:val="5AED6951"/>
    <w:rsid w:val="5AF34B09"/>
    <w:rsid w:val="5B486E17"/>
    <w:rsid w:val="5B51EFEB"/>
    <w:rsid w:val="5B5794F1"/>
    <w:rsid w:val="5B589643"/>
    <w:rsid w:val="5B7321C6"/>
    <w:rsid w:val="5B7E4763"/>
    <w:rsid w:val="5B876D25"/>
    <w:rsid w:val="5B879088"/>
    <w:rsid w:val="5B9C1948"/>
    <w:rsid w:val="5B9C7081"/>
    <w:rsid w:val="5B9F79DD"/>
    <w:rsid w:val="5BC5CA36"/>
    <w:rsid w:val="5BD34803"/>
    <w:rsid w:val="5BE0B226"/>
    <w:rsid w:val="5BF0238A"/>
    <w:rsid w:val="5C0F7B6E"/>
    <w:rsid w:val="5C2BD033"/>
    <w:rsid w:val="5C3D436D"/>
    <w:rsid w:val="5C6A1A9A"/>
    <w:rsid w:val="5CA422DD"/>
    <w:rsid w:val="5CB85FDF"/>
    <w:rsid w:val="5CCE9CA9"/>
    <w:rsid w:val="5CF3CCDF"/>
    <w:rsid w:val="5CF9D48C"/>
    <w:rsid w:val="5D2B5065"/>
    <w:rsid w:val="5D3B4A3E"/>
    <w:rsid w:val="5D4404EB"/>
    <w:rsid w:val="5D4C05DB"/>
    <w:rsid w:val="5D70CCBE"/>
    <w:rsid w:val="5D83891E"/>
    <w:rsid w:val="5DC486D6"/>
    <w:rsid w:val="5DD6EFB6"/>
    <w:rsid w:val="5DFE3F6B"/>
    <w:rsid w:val="5E02670B"/>
    <w:rsid w:val="5E082763"/>
    <w:rsid w:val="5E088ECF"/>
    <w:rsid w:val="5E33C7F6"/>
    <w:rsid w:val="5E6E7918"/>
    <w:rsid w:val="5E7C1BFB"/>
    <w:rsid w:val="5E903705"/>
    <w:rsid w:val="5EA7CB66"/>
    <w:rsid w:val="5EAECD4A"/>
    <w:rsid w:val="5EC720C6"/>
    <w:rsid w:val="5ECCA6D3"/>
    <w:rsid w:val="5ED08119"/>
    <w:rsid w:val="5ED71A9F"/>
    <w:rsid w:val="5F1C86F7"/>
    <w:rsid w:val="5F6FD007"/>
    <w:rsid w:val="5F70D7F6"/>
    <w:rsid w:val="5F8892FF"/>
    <w:rsid w:val="5FA663C1"/>
    <w:rsid w:val="5FD55325"/>
    <w:rsid w:val="5FDF5756"/>
    <w:rsid w:val="5FF50C71"/>
    <w:rsid w:val="5FF9B7A7"/>
    <w:rsid w:val="5FFF26AE"/>
    <w:rsid w:val="6000E13F"/>
    <w:rsid w:val="60014A23"/>
    <w:rsid w:val="6008FC90"/>
    <w:rsid w:val="601FFB84"/>
    <w:rsid w:val="60444371"/>
    <w:rsid w:val="604B3435"/>
    <w:rsid w:val="606F795C"/>
    <w:rsid w:val="606FEE80"/>
    <w:rsid w:val="60771603"/>
    <w:rsid w:val="607F2424"/>
    <w:rsid w:val="6090F560"/>
    <w:rsid w:val="6099E8E0"/>
    <w:rsid w:val="60B42349"/>
    <w:rsid w:val="60BB29E0"/>
    <w:rsid w:val="60D4BD5F"/>
    <w:rsid w:val="60D89B99"/>
    <w:rsid w:val="60EE4F8D"/>
    <w:rsid w:val="60F12354"/>
    <w:rsid w:val="6136CEA8"/>
    <w:rsid w:val="6148D040"/>
    <w:rsid w:val="614DB7FC"/>
    <w:rsid w:val="61671C5C"/>
    <w:rsid w:val="61947590"/>
    <w:rsid w:val="61ACD882"/>
    <w:rsid w:val="61B2C7D2"/>
    <w:rsid w:val="61B6D5C1"/>
    <w:rsid w:val="61BD603D"/>
    <w:rsid w:val="61BFC017"/>
    <w:rsid w:val="61C63C96"/>
    <w:rsid w:val="61D99088"/>
    <w:rsid w:val="61E8D63B"/>
    <w:rsid w:val="61F94097"/>
    <w:rsid w:val="621268F4"/>
    <w:rsid w:val="6214B595"/>
    <w:rsid w:val="621905CC"/>
    <w:rsid w:val="624FF3AA"/>
    <w:rsid w:val="6253062F"/>
    <w:rsid w:val="62AFCDCB"/>
    <w:rsid w:val="62B80DEA"/>
    <w:rsid w:val="62E25B30"/>
    <w:rsid w:val="633B9B5E"/>
    <w:rsid w:val="6354A579"/>
    <w:rsid w:val="635C45DF"/>
    <w:rsid w:val="638D6FA9"/>
    <w:rsid w:val="63BD4863"/>
    <w:rsid w:val="63BDD5FD"/>
    <w:rsid w:val="63EF973F"/>
    <w:rsid w:val="643F8E16"/>
    <w:rsid w:val="644B9E2C"/>
    <w:rsid w:val="645AC455"/>
    <w:rsid w:val="646804A0"/>
    <w:rsid w:val="647D3C68"/>
    <w:rsid w:val="6490C06C"/>
    <w:rsid w:val="64B3C9D1"/>
    <w:rsid w:val="64B7EF01"/>
    <w:rsid w:val="64C23346"/>
    <w:rsid w:val="64E7EE48"/>
    <w:rsid w:val="64E87108"/>
    <w:rsid w:val="652AAB05"/>
    <w:rsid w:val="652EDE51"/>
    <w:rsid w:val="65827463"/>
    <w:rsid w:val="65E69897"/>
    <w:rsid w:val="6601A0ED"/>
    <w:rsid w:val="66206A6D"/>
    <w:rsid w:val="6622E624"/>
    <w:rsid w:val="66274937"/>
    <w:rsid w:val="664AD842"/>
    <w:rsid w:val="664F4AEE"/>
    <w:rsid w:val="6688AE08"/>
    <w:rsid w:val="669234D9"/>
    <w:rsid w:val="6693C4A0"/>
    <w:rsid w:val="66A29ECD"/>
    <w:rsid w:val="66BA5822"/>
    <w:rsid w:val="66CAF8D7"/>
    <w:rsid w:val="670C11C7"/>
    <w:rsid w:val="67151476"/>
    <w:rsid w:val="672364CD"/>
    <w:rsid w:val="674393C1"/>
    <w:rsid w:val="677F8471"/>
    <w:rsid w:val="678C2BA2"/>
    <w:rsid w:val="67952C14"/>
    <w:rsid w:val="67A9F13B"/>
    <w:rsid w:val="67C1900F"/>
    <w:rsid w:val="67C69FB4"/>
    <w:rsid w:val="67E05826"/>
    <w:rsid w:val="680C6D89"/>
    <w:rsid w:val="6823A7D2"/>
    <w:rsid w:val="683C2EE9"/>
    <w:rsid w:val="683C8733"/>
    <w:rsid w:val="6848FCAD"/>
    <w:rsid w:val="687488DE"/>
    <w:rsid w:val="68949BC3"/>
    <w:rsid w:val="68B4BC24"/>
    <w:rsid w:val="68B6DB90"/>
    <w:rsid w:val="68BCCD0F"/>
    <w:rsid w:val="68BF352E"/>
    <w:rsid w:val="68DF038F"/>
    <w:rsid w:val="68DF6422"/>
    <w:rsid w:val="68E84586"/>
    <w:rsid w:val="68F4AFE1"/>
    <w:rsid w:val="690A533B"/>
    <w:rsid w:val="691F0F4F"/>
    <w:rsid w:val="6941ADFB"/>
    <w:rsid w:val="696A7A74"/>
    <w:rsid w:val="697826DF"/>
    <w:rsid w:val="69A099ED"/>
    <w:rsid w:val="69A82C69"/>
    <w:rsid w:val="69BE2F1D"/>
    <w:rsid w:val="69CC86A1"/>
    <w:rsid w:val="69F9DD5B"/>
    <w:rsid w:val="6A010596"/>
    <w:rsid w:val="6A22D236"/>
    <w:rsid w:val="6A33E8D7"/>
    <w:rsid w:val="6A5A01FF"/>
    <w:rsid w:val="6A5B89E0"/>
    <w:rsid w:val="6A8D76A9"/>
    <w:rsid w:val="6ACA9073"/>
    <w:rsid w:val="6AE46E03"/>
    <w:rsid w:val="6AF0D04C"/>
    <w:rsid w:val="6B034AE6"/>
    <w:rsid w:val="6B4AA535"/>
    <w:rsid w:val="6B60EE65"/>
    <w:rsid w:val="6B634DDD"/>
    <w:rsid w:val="6B6709F0"/>
    <w:rsid w:val="6B7FC11A"/>
    <w:rsid w:val="6BA2012F"/>
    <w:rsid w:val="6BBF0899"/>
    <w:rsid w:val="6BD0204F"/>
    <w:rsid w:val="6BD8A035"/>
    <w:rsid w:val="6C1E7297"/>
    <w:rsid w:val="6C4AA122"/>
    <w:rsid w:val="6C4F5AFE"/>
    <w:rsid w:val="6C513554"/>
    <w:rsid w:val="6C56B011"/>
    <w:rsid w:val="6C582EC2"/>
    <w:rsid w:val="6C5E181C"/>
    <w:rsid w:val="6C7F4BBE"/>
    <w:rsid w:val="6CA3325F"/>
    <w:rsid w:val="6CE94B0E"/>
    <w:rsid w:val="6D10CD37"/>
    <w:rsid w:val="6D2887A6"/>
    <w:rsid w:val="6D464C0D"/>
    <w:rsid w:val="6D4A238D"/>
    <w:rsid w:val="6D5E3D91"/>
    <w:rsid w:val="6D7A9E49"/>
    <w:rsid w:val="6D8A8BB4"/>
    <w:rsid w:val="6D91A2C1"/>
    <w:rsid w:val="6DC4CC40"/>
    <w:rsid w:val="6DCF2887"/>
    <w:rsid w:val="6DD1DAE1"/>
    <w:rsid w:val="6DE0AE77"/>
    <w:rsid w:val="6DEAAA03"/>
    <w:rsid w:val="6DF28072"/>
    <w:rsid w:val="6E2B868B"/>
    <w:rsid w:val="6E4DE7CF"/>
    <w:rsid w:val="6E58323A"/>
    <w:rsid w:val="6E8226EC"/>
    <w:rsid w:val="6E988F27"/>
    <w:rsid w:val="6E9E999F"/>
    <w:rsid w:val="6EAE289D"/>
    <w:rsid w:val="6ED5C97C"/>
    <w:rsid w:val="6ED6DD12"/>
    <w:rsid w:val="6EE5F3EE"/>
    <w:rsid w:val="6F0F8C8C"/>
    <w:rsid w:val="6F2B2846"/>
    <w:rsid w:val="6F302362"/>
    <w:rsid w:val="6F3EB81C"/>
    <w:rsid w:val="6F4EA5A6"/>
    <w:rsid w:val="6F52F201"/>
    <w:rsid w:val="6F5BBB9B"/>
    <w:rsid w:val="6F5F889B"/>
    <w:rsid w:val="6F6036B7"/>
    <w:rsid w:val="6F612CE4"/>
    <w:rsid w:val="6F67F0E9"/>
    <w:rsid w:val="6F862CDC"/>
    <w:rsid w:val="6FA34D94"/>
    <w:rsid w:val="6FBC503F"/>
    <w:rsid w:val="6FCC50DB"/>
    <w:rsid w:val="6FD189BF"/>
    <w:rsid w:val="6FD7BEFA"/>
    <w:rsid w:val="70181B2F"/>
    <w:rsid w:val="7028C293"/>
    <w:rsid w:val="702A791F"/>
    <w:rsid w:val="7043642C"/>
    <w:rsid w:val="7053D3F6"/>
    <w:rsid w:val="7056FC74"/>
    <w:rsid w:val="70664C9F"/>
    <w:rsid w:val="7073753A"/>
    <w:rsid w:val="70768947"/>
    <w:rsid w:val="70961541"/>
    <w:rsid w:val="709742AD"/>
    <w:rsid w:val="70A8C613"/>
    <w:rsid w:val="70D8E86D"/>
    <w:rsid w:val="70EA7607"/>
    <w:rsid w:val="70EA7EC1"/>
    <w:rsid w:val="70F3A6D5"/>
    <w:rsid w:val="70FDF111"/>
    <w:rsid w:val="710022A7"/>
    <w:rsid w:val="711C4B59"/>
    <w:rsid w:val="71332F6A"/>
    <w:rsid w:val="71599C8C"/>
    <w:rsid w:val="716C7C33"/>
    <w:rsid w:val="71738651"/>
    <w:rsid w:val="71794A05"/>
    <w:rsid w:val="718B6C06"/>
    <w:rsid w:val="719F5B44"/>
    <w:rsid w:val="71AC4627"/>
    <w:rsid w:val="71D02FE9"/>
    <w:rsid w:val="71E43E5A"/>
    <w:rsid w:val="71F7CC79"/>
    <w:rsid w:val="71FD66B7"/>
    <w:rsid w:val="720F3A6B"/>
    <w:rsid w:val="7231AEB4"/>
    <w:rsid w:val="723293BA"/>
    <w:rsid w:val="72599386"/>
    <w:rsid w:val="726D2190"/>
    <w:rsid w:val="727D6856"/>
    <w:rsid w:val="72A2C7C9"/>
    <w:rsid w:val="73480F23"/>
    <w:rsid w:val="73515D6F"/>
    <w:rsid w:val="7360E0FE"/>
    <w:rsid w:val="736A7FA8"/>
    <w:rsid w:val="7381DC6E"/>
    <w:rsid w:val="73869F94"/>
    <w:rsid w:val="738F539D"/>
    <w:rsid w:val="73939CDA"/>
    <w:rsid w:val="739C2301"/>
    <w:rsid w:val="73A0B45E"/>
    <w:rsid w:val="73A2D3B6"/>
    <w:rsid w:val="73BCE5FB"/>
    <w:rsid w:val="73C21E76"/>
    <w:rsid w:val="73DD44E3"/>
    <w:rsid w:val="73E4542A"/>
    <w:rsid w:val="73EF0764"/>
    <w:rsid w:val="73FEC81D"/>
    <w:rsid w:val="7408D3F3"/>
    <w:rsid w:val="742216C9"/>
    <w:rsid w:val="74346D61"/>
    <w:rsid w:val="74383B32"/>
    <w:rsid w:val="743E982A"/>
    <w:rsid w:val="7457C087"/>
    <w:rsid w:val="745FCDD5"/>
    <w:rsid w:val="747DB0F7"/>
    <w:rsid w:val="74A8BC98"/>
    <w:rsid w:val="74AFDEEE"/>
    <w:rsid w:val="74B79AAB"/>
    <w:rsid w:val="74B82012"/>
    <w:rsid w:val="74B945D0"/>
    <w:rsid w:val="74CA7AFD"/>
    <w:rsid w:val="74F4B2C6"/>
    <w:rsid w:val="752F6D3B"/>
    <w:rsid w:val="7547DCD1"/>
    <w:rsid w:val="75646D73"/>
    <w:rsid w:val="757DD8AD"/>
    <w:rsid w:val="759EADDA"/>
    <w:rsid w:val="75A3F293"/>
    <w:rsid w:val="75A9B2DE"/>
    <w:rsid w:val="75AA0A18"/>
    <w:rsid w:val="75BDE72A"/>
    <w:rsid w:val="75D10443"/>
    <w:rsid w:val="75F390E8"/>
    <w:rsid w:val="75FFBE17"/>
    <w:rsid w:val="761B167B"/>
    <w:rsid w:val="762C03E2"/>
    <w:rsid w:val="762E8B7E"/>
    <w:rsid w:val="763FABC7"/>
    <w:rsid w:val="764553A7"/>
    <w:rsid w:val="7647D1B7"/>
    <w:rsid w:val="7694656C"/>
    <w:rsid w:val="76B1542F"/>
    <w:rsid w:val="76C6342C"/>
    <w:rsid w:val="76D6A9E1"/>
    <w:rsid w:val="77034CA3"/>
    <w:rsid w:val="770AEB9C"/>
    <w:rsid w:val="77180797"/>
    <w:rsid w:val="772BCBEF"/>
    <w:rsid w:val="77587270"/>
    <w:rsid w:val="775A3D39"/>
    <w:rsid w:val="777E9FDD"/>
    <w:rsid w:val="778010F3"/>
    <w:rsid w:val="7791B560"/>
    <w:rsid w:val="779CF3F9"/>
    <w:rsid w:val="779FD549"/>
    <w:rsid w:val="77BAC28A"/>
    <w:rsid w:val="77C4D240"/>
    <w:rsid w:val="77D32948"/>
    <w:rsid w:val="77FE768D"/>
    <w:rsid w:val="782A6D58"/>
    <w:rsid w:val="78438580"/>
    <w:rsid w:val="78460999"/>
    <w:rsid w:val="787370D5"/>
    <w:rsid w:val="78992A1E"/>
    <w:rsid w:val="789B6549"/>
    <w:rsid w:val="78B087AF"/>
    <w:rsid w:val="78B52702"/>
    <w:rsid w:val="78E1BFD9"/>
    <w:rsid w:val="792F7DF3"/>
    <w:rsid w:val="794EB50F"/>
    <w:rsid w:val="79783399"/>
    <w:rsid w:val="79816295"/>
    <w:rsid w:val="79820580"/>
    <w:rsid w:val="79C63DB9"/>
    <w:rsid w:val="79E54A93"/>
    <w:rsid w:val="79F51978"/>
    <w:rsid w:val="79FE3CE9"/>
    <w:rsid w:val="7A02FE7E"/>
    <w:rsid w:val="7A4F6A40"/>
    <w:rsid w:val="7A4FA859"/>
    <w:rsid w:val="7A50A2A6"/>
    <w:rsid w:val="7A70BD41"/>
    <w:rsid w:val="7A98EAC9"/>
    <w:rsid w:val="7AA0CB8E"/>
    <w:rsid w:val="7AAD6C1F"/>
    <w:rsid w:val="7ADAF589"/>
    <w:rsid w:val="7B07FCEB"/>
    <w:rsid w:val="7B1E310F"/>
    <w:rsid w:val="7B305C4E"/>
    <w:rsid w:val="7B4AC018"/>
    <w:rsid w:val="7B4F5FBB"/>
    <w:rsid w:val="7B7AEB59"/>
    <w:rsid w:val="7B9E4FFC"/>
    <w:rsid w:val="7BB53113"/>
    <w:rsid w:val="7BE6688F"/>
    <w:rsid w:val="7BEAF994"/>
    <w:rsid w:val="7C10EFC0"/>
    <w:rsid w:val="7C5E1AB6"/>
    <w:rsid w:val="7C7774E8"/>
    <w:rsid w:val="7C77C643"/>
    <w:rsid w:val="7C79944B"/>
    <w:rsid w:val="7C8496B0"/>
    <w:rsid w:val="7C9016C3"/>
    <w:rsid w:val="7C911C66"/>
    <w:rsid w:val="7C9B9E9C"/>
    <w:rsid w:val="7CAA099A"/>
    <w:rsid w:val="7CCC53ED"/>
    <w:rsid w:val="7CDBDE87"/>
    <w:rsid w:val="7CDE8087"/>
    <w:rsid w:val="7D0B1AEA"/>
    <w:rsid w:val="7D6E20BE"/>
    <w:rsid w:val="7DC54C77"/>
    <w:rsid w:val="7DFB48CE"/>
    <w:rsid w:val="7DFF63F7"/>
    <w:rsid w:val="7E22AFA7"/>
    <w:rsid w:val="7E306C57"/>
    <w:rsid w:val="7E3354FB"/>
    <w:rsid w:val="7E38A9D9"/>
    <w:rsid w:val="7E605344"/>
    <w:rsid w:val="7E7D2252"/>
    <w:rsid w:val="7EAFFD87"/>
    <w:rsid w:val="7EC1AA48"/>
    <w:rsid w:val="7ED64F81"/>
    <w:rsid w:val="7EE37185"/>
    <w:rsid w:val="7EECBCB8"/>
    <w:rsid w:val="7F025DB5"/>
    <w:rsid w:val="7F09F11F"/>
    <w:rsid w:val="7F188734"/>
    <w:rsid w:val="7F1F870A"/>
    <w:rsid w:val="7F4B577F"/>
    <w:rsid w:val="7F601DF1"/>
    <w:rsid w:val="7F793F70"/>
    <w:rsid w:val="7F8AC8AE"/>
    <w:rsid w:val="7FA0C9B5"/>
    <w:rsid w:val="7FA4749D"/>
    <w:rsid w:val="7FCEC6BB"/>
    <w:rsid w:val="7FDC0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41F79F"/>
  <w15:docId w15:val="{02222D86-EEAC-46A3-BB5A-712A96669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F52687"/>
    <w:pPr>
      <w:spacing w:after="0" w:line="240" w:lineRule="auto"/>
    </w:pPr>
    <w:rPr>
      <w:rFonts w:ascii="Times New Roman" w:eastAsia="Times New Roman" w:hAnsi="Times New Roman" w:cs="Times New Roman"/>
      <w:sz w:val="24"/>
      <w:szCs w:val="24"/>
      <w:lang w:eastAsia="en-US"/>
    </w:rPr>
  </w:style>
  <w:style w:type="paragraph" w:styleId="Nadpis1">
    <w:name w:val="heading 1"/>
    <w:basedOn w:val="Normln"/>
    <w:next w:val="Normln"/>
    <w:link w:val="Nadpis1Char"/>
    <w:rsid w:val="00E53CA1"/>
    <w:pPr>
      <w:keepNext/>
      <w:jc w:val="both"/>
      <w:outlineLvl w:val="0"/>
    </w:pPr>
    <w:rPr>
      <w:rFonts w:ascii="Futura Bk BT" w:hAnsi="Futura Bk BT"/>
      <w:b/>
      <w:bCs/>
      <w:color w:val="999999"/>
      <w:sz w:val="20"/>
    </w:rPr>
  </w:style>
  <w:style w:type="paragraph" w:styleId="Nadpis3">
    <w:name w:val="heading 3"/>
    <w:basedOn w:val="Normln"/>
    <w:next w:val="Normln"/>
    <w:link w:val="Nadpis3Char"/>
    <w:uiPriority w:val="9"/>
    <w:semiHidden/>
    <w:unhideWhenUsed/>
    <w:qFormat/>
    <w:rsid w:val="00E5338E"/>
    <w:pPr>
      <w:keepNext/>
      <w:keepLines/>
      <w:spacing w:before="40"/>
      <w:outlineLvl w:val="2"/>
    </w:pPr>
    <w:rPr>
      <w:rFonts w:asciiTheme="majorHAnsi" w:eastAsiaTheme="majorEastAsia" w:hAnsiTheme="majorHAnsi" w:cstheme="majorBidi"/>
      <w:color w:val="0F1B32" w:themeColor="accent1" w:themeShade="7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63036"/>
    <w:pPr>
      <w:tabs>
        <w:tab w:val="center" w:pos="4680"/>
        <w:tab w:val="right" w:pos="9360"/>
      </w:tabs>
    </w:pPr>
  </w:style>
  <w:style w:type="character" w:customStyle="1" w:styleId="ZhlavChar">
    <w:name w:val="Záhlaví Char"/>
    <w:basedOn w:val="Standardnpsmoodstavce"/>
    <w:link w:val="Zhlav"/>
    <w:uiPriority w:val="99"/>
    <w:rsid w:val="00C63036"/>
  </w:style>
  <w:style w:type="paragraph" w:styleId="Zpat">
    <w:name w:val="footer"/>
    <w:basedOn w:val="Normln"/>
    <w:link w:val="ZpatChar"/>
    <w:uiPriority w:val="99"/>
    <w:unhideWhenUsed/>
    <w:rsid w:val="00C63036"/>
    <w:pPr>
      <w:tabs>
        <w:tab w:val="center" w:pos="4680"/>
        <w:tab w:val="right" w:pos="9360"/>
      </w:tabs>
    </w:pPr>
  </w:style>
  <w:style w:type="character" w:customStyle="1" w:styleId="ZpatChar">
    <w:name w:val="Zápatí Char"/>
    <w:basedOn w:val="Standardnpsmoodstavce"/>
    <w:link w:val="Zpat"/>
    <w:uiPriority w:val="99"/>
    <w:rsid w:val="00C63036"/>
  </w:style>
  <w:style w:type="paragraph" w:styleId="Textbubliny">
    <w:name w:val="Balloon Text"/>
    <w:basedOn w:val="Normln"/>
    <w:link w:val="TextbublinyChar"/>
    <w:uiPriority w:val="99"/>
    <w:semiHidden/>
    <w:unhideWhenUsed/>
    <w:rsid w:val="00C63036"/>
    <w:rPr>
      <w:rFonts w:ascii="Tahoma" w:hAnsi="Tahoma" w:cs="Tahoma"/>
      <w:sz w:val="16"/>
      <w:szCs w:val="16"/>
    </w:rPr>
  </w:style>
  <w:style w:type="character" w:customStyle="1" w:styleId="TextbublinyChar">
    <w:name w:val="Text bubliny Char"/>
    <w:basedOn w:val="Standardnpsmoodstavce"/>
    <w:link w:val="Textbubliny"/>
    <w:uiPriority w:val="99"/>
    <w:semiHidden/>
    <w:rsid w:val="00C63036"/>
    <w:rPr>
      <w:rFonts w:ascii="Tahoma" w:hAnsi="Tahoma" w:cs="Tahoma"/>
      <w:sz w:val="16"/>
      <w:szCs w:val="16"/>
    </w:rPr>
  </w:style>
  <w:style w:type="paragraph" w:customStyle="1" w:styleId="MainText">
    <w:name w:val="Main Text"/>
    <w:basedOn w:val="Normln"/>
    <w:rsid w:val="00C63036"/>
    <w:pPr>
      <w:spacing w:line="300" w:lineRule="exact"/>
      <w:ind w:left="120"/>
    </w:pPr>
    <w:rPr>
      <w:szCs w:val="20"/>
    </w:rPr>
  </w:style>
  <w:style w:type="character" w:styleId="Hypertextovodkaz">
    <w:name w:val="Hyperlink"/>
    <w:basedOn w:val="Standardnpsmoodstavce"/>
    <w:uiPriority w:val="99"/>
    <w:unhideWhenUsed/>
    <w:rsid w:val="00F81642"/>
    <w:rPr>
      <w:color w:val="80BBAD" w:themeColor="hyperlink"/>
      <w:u w:val="single"/>
    </w:rPr>
  </w:style>
  <w:style w:type="character" w:customStyle="1" w:styleId="Nadpis1Char">
    <w:name w:val="Nadpis 1 Char"/>
    <w:basedOn w:val="Standardnpsmoodstavce"/>
    <w:link w:val="Nadpis1"/>
    <w:rsid w:val="00E53CA1"/>
    <w:rPr>
      <w:rFonts w:ascii="Futura Bk BT" w:eastAsia="Times New Roman" w:hAnsi="Futura Bk BT" w:cs="Times New Roman"/>
      <w:b/>
      <w:bCs/>
      <w:color w:val="999999"/>
      <w:sz w:val="20"/>
      <w:szCs w:val="24"/>
      <w:lang w:eastAsia="en-US"/>
    </w:rPr>
  </w:style>
  <w:style w:type="character" w:customStyle="1" w:styleId="UnresolvedMention1">
    <w:name w:val="Unresolved Mention1"/>
    <w:basedOn w:val="Standardnpsmoodstavce"/>
    <w:uiPriority w:val="99"/>
    <w:semiHidden/>
    <w:unhideWhenUsed/>
    <w:rsid w:val="00685808"/>
    <w:rPr>
      <w:color w:val="808080"/>
      <w:shd w:val="clear" w:color="auto" w:fill="E6E6E6"/>
    </w:rPr>
  </w:style>
  <w:style w:type="paragraph" w:customStyle="1" w:styleId="BodyCopy">
    <w:name w:val="Body Copy"/>
    <w:basedOn w:val="Normln"/>
    <w:qFormat/>
    <w:rsid w:val="00F51DB7"/>
    <w:pPr>
      <w:autoSpaceDE w:val="0"/>
      <w:autoSpaceDN w:val="0"/>
      <w:adjustRightInd w:val="0"/>
    </w:pPr>
    <w:rPr>
      <w:color w:val="425254" w:themeColor="text1"/>
    </w:rPr>
  </w:style>
  <w:style w:type="paragraph" w:customStyle="1" w:styleId="Boilerplate">
    <w:name w:val="Boilerplate"/>
    <w:basedOn w:val="Normln"/>
    <w:rsid w:val="003B44F1"/>
    <w:pPr>
      <w:spacing w:line="240" w:lineRule="exact"/>
    </w:pPr>
    <w:rPr>
      <w:rFonts w:ascii="Calibre" w:eastAsia="Calibri" w:hAnsi="Calibre"/>
      <w:color w:val="7F8481" w:themeColor="accent5"/>
      <w:sz w:val="21"/>
      <w:szCs w:val="21"/>
    </w:rPr>
  </w:style>
  <w:style w:type="paragraph" w:customStyle="1" w:styleId="Subhead">
    <w:name w:val="Subhead"/>
    <w:basedOn w:val="Normln"/>
    <w:qFormat/>
    <w:rsid w:val="007E236C"/>
    <w:pPr>
      <w:jc w:val="center"/>
    </w:pPr>
    <w:rPr>
      <w:bCs/>
      <w:i/>
      <w:color w:val="425254" w:themeColor="text1"/>
    </w:rPr>
  </w:style>
  <w:style w:type="paragraph" w:customStyle="1" w:styleId="Headline">
    <w:name w:val="Headline"/>
    <w:basedOn w:val="Normln"/>
    <w:qFormat/>
    <w:rsid w:val="007E236C"/>
    <w:pPr>
      <w:jc w:val="center"/>
    </w:pPr>
    <w:rPr>
      <w:b/>
      <w:color w:val="425254" w:themeColor="text1"/>
      <w:sz w:val="28"/>
      <w:szCs w:val="28"/>
    </w:rPr>
  </w:style>
  <w:style w:type="paragraph" w:customStyle="1" w:styleId="Contact">
    <w:name w:val="Contact"/>
    <w:basedOn w:val="MainText"/>
    <w:qFormat/>
    <w:rsid w:val="003B44F1"/>
    <w:pPr>
      <w:ind w:left="0"/>
    </w:pPr>
    <w:rPr>
      <w:b/>
      <w:bCs/>
      <w:color w:val="425254" w:themeColor="text1"/>
      <w:szCs w:val="24"/>
    </w:rPr>
  </w:style>
  <w:style w:type="character" w:styleId="Odkaznakoment">
    <w:name w:val="annotation reference"/>
    <w:basedOn w:val="Standardnpsmoodstavce"/>
    <w:uiPriority w:val="99"/>
    <w:unhideWhenUsed/>
    <w:rsid w:val="007C1420"/>
    <w:rPr>
      <w:sz w:val="16"/>
      <w:szCs w:val="16"/>
    </w:rPr>
  </w:style>
  <w:style w:type="paragraph" w:styleId="Textkomente">
    <w:name w:val="annotation text"/>
    <w:basedOn w:val="Normln"/>
    <w:link w:val="TextkomenteChar"/>
    <w:uiPriority w:val="99"/>
    <w:unhideWhenUsed/>
    <w:rsid w:val="007C1420"/>
    <w:rPr>
      <w:sz w:val="20"/>
      <w:szCs w:val="20"/>
    </w:rPr>
  </w:style>
  <w:style w:type="character" w:customStyle="1" w:styleId="TextkomenteChar">
    <w:name w:val="Text komentáře Char"/>
    <w:basedOn w:val="Standardnpsmoodstavce"/>
    <w:link w:val="Textkomente"/>
    <w:uiPriority w:val="99"/>
    <w:rsid w:val="007C1420"/>
    <w:rPr>
      <w:rFonts w:ascii="Times New Roman" w:eastAsia="Times New Roman" w:hAnsi="Times New Roman" w:cs="Times New Roman"/>
      <w:sz w:val="20"/>
      <w:szCs w:val="20"/>
      <w:lang w:eastAsia="en-US"/>
    </w:rPr>
  </w:style>
  <w:style w:type="paragraph" w:styleId="Pedmtkomente">
    <w:name w:val="annotation subject"/>
    <w:basedOn w:val="Textkomente"/>
    <w:next w:val="Textkomente"/>
    <w:link w:val="PedmtkomenteChar"/>
    <w:uiPriority w:val="99"/>
    <w:semiHidden/>
    <w:unhideWhenUsed/>
    <w:rsid w:val="007C1420"/>
    <w:rPr>
      <w:b/>
      <w:bCs/>
    </w:rPr>
  </w:style>
  <w:style w:type="character" w:customStyle="1" w:styleId="PedmtkomenteChar">
    <w:name w:val="Předmět komentáře Char"/>
    <w:basedOn w:val="TextkomenteChar"/>
    <w:link w:val="Pedmtkomente"/>
    <w:uiPriority w:val="99"/>
    <w:semiHidden/>
    <w:rsid w:val="007C1420"/>
    <w:rPr>
      <w:rFonts w:ascii="Times New Roman" w:eastAsia="Times New Roman" w:hAnsi="Times New Roman" w:cs="Times New Roman"/>
      <w:b/>
      <w:bCs/>
      <w:sz w:val="20"/>
      <w:szCs w:val="20"/>
      <w:lang w:eastAsia="en-US"/>
    </w:rPr>
  </w:style>
  <w:style w:type="character" w:customStyle="1" w:styleId="normaltextrun">
    <w:name w:val="normaltextrun"/>
    <w:rsid w:val="003B0B9B"/>
  </w:style>
  <w:style w:type="paragraph" w:styleId="Textpoznpodarou">
    <w:name w:val="footnote text"/>
    <w:basedOn w:val="Normln"/>
    <w:link w:val="TextpoznpodarouChar"/>
    <w:uiPriority w:val="99"/>
    <w:rsid w:val="00D43EBE"/>
    <w:rPr>
      <w:sz w:val="20"/>
      <w:szCs w:val="20"/>
    </w:rPr>
  </w:style>
  <w:style w:type="character" w:customStyle="1" w:styleId="TextpoznpodarouChar">
    <w:name w:val="Text pozn. pod čarou Char"/>
    <w:basedOn w:val="Standardnpsmoodstavce"/>
    <w:link w:val="Textpoznpodarou"/>
    <w:uiPriority w:val="99"/>
    <w:rsid w:val="00D43EBE"/>
    <w:rPr>
      <w:rFonts w:ascii="Times New Roman" w:eastAsia="Times New Roman" w:hAnsi="Times New Roman" w:cs="Times New Roman"/>
      <w:sz w:val="20"/>
      <w:szCs w:val="20"/>
      <w:lang w:eastAsia="en-US"/>
    </w:rPr>
  </w:style>
  <w:style w:type="character" w:styleId="Znakapoznpodarou">
    <w:name w:val="footnote reference"/>
    <w:uiPriority w:val="99"/>
    <w:rsid w:val="00D43EBE"/>
    <w:rPr>
      <w:vertAlign w:val="superscript"/>
    </w:rPr>
  </w:style>
  <w:style w:type="paragraph" w:styleId="Odstavecseseznamem">
    <w:name w:val="List Paragraph"/>
    <w:basedOn w:val="Normln"/>
    <w:uiPriority w:val="34"/>
    <w:qFormat/>
    <w:rsid w:val="007678F4"/>
    <w:pPr>
      <w:ind w:left="720"/>
    </w:pPr>
    <w:rPr>
      <w:rFonts w:ascii="Calibri" w:eastAsiaTheme="minorHAnsi" w:hAnsi="Calibri" w:cs="Calibri"/>
      <w:sz w:val="22"/>
      <w:szCs w:val="22"/>
      <w:lang w:val="cs-CZ"/>
    </w:rPr>
  </w:style>
  <w:style w:type="paragraph" w:styleId="Revize">
    <w:name w:val="Revision"/>
    <w:hidden/>
    <w:uiPriority w:val="99"/>
    <w:semiHidden/>
    <w:rsid w:val="00CA2436"/>
    <w:pPr>
      <w:spacing w:after="0" w:line="240" w:lineRule="auto"/>
    </w:pPr>
    <w:rPr>
      <w:rFonts w:ascii="Times New Roman" w:eastAsia="Times New Roman" w:hAnsi="Times New Roman" w:cs="Times New Roman"/>
      <w:sz w:val="24"/>
      <w:szCs w:val="24"/>
      <w:lang w:eastAsia="en-US"/>
    </w:rPr>
  </w:style>
  <w:style w:type="character" w:customStyle="1" w:styleId="search-term-highlight">
    <w:name w:val="search-term-highlight"/>
    <w:basedOn w:val="Standardnpsmoodstavce"/>
    <w:rsid w:val="007A4FA0"/>
  </w:style>
  <w:style w:type="character" w:styleId="Siln">
    <w:name w:val="Strong"/>
    <w:basedOn w:val="Standardnpsmoodstavce"/>
    <w:uiPriority w:val="22"/>
    <w:qFormat/>
    <w:rsid w:val="007A4FA0"/>
    <w:rPr>
      <w:b/>
      <w:bCs/>
    </w:rPr>
  </w:style>
  <w:style w:type="character" w:styleId="Zdraznn">
    <w:name w:val="Emphasis"/>
    <w:basedOn w:val="Standardnpsmoodstavce"/>
    <w:uiPriority w:val="20"/>
    <w:qFormat/>
    <w:rsid w:val="00E5338E"/>
    <w:rPr>
      <w:i/>
      <w:iCs/>
    </w:rPr>
  </w:style>
  <w:style w:type="character" w:customStyle="1" w:styleId="Nadpis3Char">
    <w:name w:val="Nadpis 3 Char"/>
    <w:basedOn w:val="Standardnpsmoodstavce"/>
    <w:link w:val="Nadpis3"/>
    <w:uiPriority w:val="9"/>
    <w:semiHidden/>
    <w:rsid w:val="00E5338E"/>
    <w:rPr>
      <w:rFonts w:asciiTheme="majorHAnsi" w:eastAsiaTheme="majorEastAsia" w:hAnsiTheme="majorHAnsi" w:cstheme="majorBidi"/>
      <w:color w:val="0F1B32" w:themeColor="accent1" w:themeShade="7F"/>
      <w:sz w:val="24"/>
      <w:szCs w:val="24"/>
      <w:lang w:eastAsia="en-US"/>
    </w:rPr>
  </w:style>
  <w:style w:type="paragraph" w:customStyle="1" w:styleId="paragraph">
    <w:name w:val="paragraph"/>
    <w:basedOn w:val="Normln"/>
    <w:rsid w:val="004F5891"/>
    <w:pPr>
      <w:spacing w:before="100" w:beforeAutospacing="1" w:after="100" w:afterAutospacing="1"/>
    </w:pPr>
    <w:rPr>
      <w:lang w:val="cs-CZ" w:eastAsia="cs-CZ"/>
    </w:rPr>
  </w:style>
  <w:style w:type="character" w:customStyle="1" w:styleId="spellingerror">
    <w:name w:val="spellingerror"/>
    <w:basedOn w:val="Standardnpsmoodstavce"/>
    <w:rsid w:val="004F5891"/>
  </w:style>
  <w:style w:type="character" w:customStyle="1" w:styleId="scxw106638316">
    <w:name w:val="scxw106638316"/>
    <w:basedOn w:val="Standardnpsmoodstavce"/>
    <w:rsid w:val="004F5891"/>
  </w:style>
  <w:style w:type="character" w:customStyle="1" w:styleId="eop">
    <w:name w:val="eop"/>
    <w:basedOn w:val="Standardnpsmoodstavce"/>
    <w:rsid w:val="004F5891"/>
  </w:style>
  <w:style w:type="character" w:customStyle="1" w:styleId="tabchar">
    <w:name w:val="tabchar"/>
    <w:basedOn w:val="Standardnpsmoodstavce"/>
    <w:rsid w:val="004F5891"/>
  </w:style>
  <w:style w:type="character" w:styleId="Nevyeenzmnka">
    <w:name w:val="Unresolved Mention"/>
    <w:basedOn w:val="Standardnpsmoodstavce"/>
    <w:uiPriority w:val="99"/>
    <w:semiHidden/>
    <w:unhideWhenUsed/>
    <w:rsid w:val="00301975"/>
    <w:rPr>
      <w:color w:val="605E5C"/>
      <w:shd w:val="clear" w:color="auto" w:fill="E1DFDD"/>
    </w:rPr>
  </w:style>
  <w:style w:type="character" w:styleId="Sledovanodkaz">
    <w:name w:val="FollowedHyperlink"/>
    <w:basedOn w:val="Standardnpsmoodstavce"/>
    <w:uiPriority w:val="99"/>
    <w:semiHidden/>
    <w:unhideWhenUsed/>
    <w:rsid w:val="00AB5429"/>
    <w:rPr>
      <w:color w:val="CAD1D3" w:themeColor="followedHyperlink"/>
      <w:u w:val="single"/>
    </w:rPr>
  </w:style>
  <w:style w:type="character" w:customStyle="1" w:styleId="scxw186059696">
    <w:name w:val="scxw186059696"/>
    <w:basedOn w:val="Standardnpsmoodstavce"/>
    <w:rsid w:val="00AA166A"/>
  </w:style>
  <w:style w:type="paragraph" w:customStyle="1" w:styleId="pf0">
    <w:name w:val="pf0"/>
    <w:basedOn w:val="Normln"/>
    <w:rsid w:val="00DB0480"/>
    <w:pPr>
      <w:spacing w:before="100" w:beforeAutospacing="1" w:after="100" w:afterAutospacing="1"/>
    </w:pPr>
    <w:rPr>
      <w:lang w:val="cs-CZ" w:eastAsia="cs-CZ"/>
    </w:rPr>
  </w:style>
  <w:style w:type="character" w:customStyle="1" w:styleId="cf01">
    <w:name w:val="cf01"/>
    <w:basedOn w:val="Standardnpsmoodstavce"/>
    <w:rsid w:val="00DB0480"/>
    <w:rPr>
      <w:rFonts w:ascii="Segoe UI" w:hAnsi="Segoe UI" w:cs="Segoe UI" w:hint="default"/>
      <w:sz w:val="18"/>
      <w:szCs w:val="18"/>
    </w:rPr>
  </w:style>
  <w:style w:type="paragraph" w:styleId="Nzev">
    <w:name w:val="Title"/>
    <w:basedOn w:val="Normln"/>
    <w:next w:val="Normln"/>
    <w:link w:val="NzevChar"/>
    <w:uiPriority w:val="10"/>
    <w:qFormat/>
    <w:rsid w:val="006D25C1"/>
    <w:pPr>
      <w:spacing w:after="80"/>
      <w:contextualSpacing/>
    </w:pPr>
    <w:rPr>
      <w:rFonts w:asciiTheme="majorHAnsi" w:eastAsiaTheme="majorEastAsia" w:hAnsiTheme="majorHAnsi" w:cstheme="majorBidi"/>
      <w:spacing w:val="-10"/>
      <w:kern w:val="28"/>
      <w:sz w:val="56"/>
      <w:szCs w:val="56"/>
      <w:lang w:val="cs-CZ"/>
      <w14:ligatures w14:val="standardContextual"/>
    </w:rPr>
  </w:style>
  <w:style w:type="character" w:customStyle="1" w:styleId="NzevChar">
    <w:name w:val="Název Char"/>
    <w:basedOn w:val="Standardnpsmoodstavce"/>
    <w:link w:val="Nzev"/>
    <w:uiPriority w:val="10"/>
    <w:rsid w:val="006D25C1"/>
    <w:rPr>
      <w:rFonts w:asciiTheme="majorHAnsi" w:eastAsiaTheme="majorEastAsia" w:hAnsiTheme="majorHAnsi" w:cstheme="majorBidi"/>
      <w:spacing w:val="-10"/>
      <w:kern w:val="28"/>
      <w:sz w:val="56"/>
      <w:szCs w:val="56"/>
      <w:lang w:val="cs-CZ" w:eastAsia="en-US"/>
      <w14:ligatures w14:val="standardContextual"/>
    </w:rPr>
  </w:style>
  <w:style w:type="paragraph" w:styleId="Normlnweb">
    <w:name w:val="Normal (Web)"/>
    <w:basedOn w:val="Normln"/>
    <w:uiPriority w:val="99"/>
    <w:semiHidden/>
    <w:unhideWhenUsed/>
    <w:rsid w:val="005B6C4C"/>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6855">
      <w:bodyDiv w:val="1"/>
      <w:marLeft w:val="0"/>
      <w:marRight w:val="0"/>
      <w:marTop w:val="0"/>
      <w:marBottom w:val="0"/>
      <w:divBdr>
        <w:top w:val="none" w:sz="0" w:space="0" w:color="auto"/>
        <w:left w:val="none" w:sz="0" w:space="0" w:color="auto"/>
        <w:bottom w:val="none" w:sz="0" w:space="0" w:color="auto"/>
        <w:right w:val="none" w:sz="0" w:space="0" w:color="auto"/>
      </w:divBdr>
      <w:divsChild>
        <w:div w:id="906652836">
          <w:marLeft w:val="0"/>
          <w:marRight w:val="0"/>
          <w:marTop w:val="0"/>
          <w:marBottom w:val="0"/>
          <w:divBdr>
            <w:top w:val="none" w:sz="0" w:space="0" w:color="auto"/>
            <w:left w:val="none" w:sz="0" w:space="0" w:color="auto"/>
            <w:bottom w:val="none" w:sz="0" w:space="0" w:color="auto"/>
            <w:right w:val="none" w:sz="0" w:space="0" w:color="auto"/>
          </w:divBdr>
          <w:divsChild>
            <w:div w:id="1907645204">
              <w:marLeft w:val="-75"/>
              <w:marRight w:val="0"/>
              <w:marTop w:val="30"/>
              <w:marBottom w:val="30"/>
              <w:divBdr>
                <w:top w:val="none" w:sz="0" w:space="0" w:color="auto"/>
                <w:left w:val="none" w:sz="0" w:space="0" w:color="auto"/>
                <w:bottom w:val="none" w:sz="0" w:space="0" w:color="auto"/>
                <w:right w:val="none" w:sz="0" w:space="0" w:color="auto"/>
              </w:divBdr>
              <w:divsChild>
                <w:div w:id="397291159">
                  <w:marLeft w:val="0"/>
                  <w:marRight w:val="0"/>
                  <w:marTop w:val="0"/>
                  <w:marBottom w:val="0"/>
                  <w:divBdr>
                    <w:top w:val="none" w:sz="0" w:space="0" w:color="auto"/>
                    <w:left w:val="none" w:sz="0" w:space="0" w:color="auto"/>
                    <w:bottom w:val="none" w:sz="0" w:space="0" w:color="auto"/>
                    <w:right w:val="none" w:sz="0" w:space="0" w:color="auto"/>
                  </w:divBdr>
                  <w:divsChild>
                    <w:div w:id="1654483562">
                      <w:marLeft w:val="0"/>
                      <w:marRight w:val="0"/>
                      <w:marTop w:val="0"/>
                      <w:marBottom w:val="0"/>
                      <w:divBdr>
                        <w:top w:val="none" w:sz="0" w:space="0" w:color="auto"/>
                        <w:left w:val="none" w:sz="0" w:space="0" w:color="auto"/>
                        <w:bottom w:val="none" w:sz="0" w:space="0" w:color="auto"/>
                        <w:right w:val="none" w:sz="0" w:space="0" w:color="auto"/>
                      </w:divBdr>
                    </w:div>
                  </w:divsChild>
                </w:div>
                <w:div w:id="214851553">
                  <w:marLeft w:val="0"/>
                  <w:marRight w:val="0"/>
                  <w:marTop w:val="0"/>
                  <w:marBottom w:val="0"/>
                  <w:divBdr>
                    <w:top w:val="none" w:sz="0" w:space="0" w:color="auto"/>
                    <w:left w:val="none" w:sz="0" w:space="0" w:color="auto"/>
                    <w:bottom w:val="none" w:sz="0" w:space="0" w:color="auto"/>
                    <w:right w:val="none" w:sz="0" w:space="0" w:color="auto"/>
                  </w:divBdr>
                  <w:divsChild>
                    <w:div w:id="2095927739">
                      <w:marLeft w:val="0"/>
                      <w:marRight w:val="0"/>
                      <w:marTop w:val="0"/>
                      <w:marBottom w:val="0"/>
                      <w:divBdr>
                        <w:top w:val="none" w:sz="0" w:space="0" w:color="auto"/>
                        <w:left w:val="none" w:sz="0" w:space="0" w:color="auto"/>
                        <w:bottom w:val="none" w:sz="0" w:space="0" w:color="auto"/>
                        <w:right w:val="none" w:sz="0" w:space="0" w:color="auto"/>
                      </w:divBdr>
                    </w:div>
                  </w:divsChild>
                </w:div>
                <w:div w:id="1996301079">
                  <w:marLeft w:val="0"/>
                  <w:marRight w:val="0"/>
                  <w:marTop w:val="0"/>
                  <w:marBottom w:val="0"/>
                  <w:divBdr>
                    <w:top w:val="none" w:sz="0" w:space="0" w:color="auto"/>
                    <w:left w:val="none" w:sz="0" w:space="0" w:color="auto"/>
                    <w:bottom w:val="none" w:sz="0" w:space="0" w:color="auto"/>
                    <w:right w:val="none" w:sz="0" w:space="0" w:color="auto"/>
                  </w:divBdr>
                  <w:divsChild>
                    <w:div w:id="1544714065">
                      <w:marLeft w:val="0"/>
                      <w:marRight w:val="0"/>
                      <w:marTop w:val="0"/>
                      <w:marBottom w:val="0"/>
                      <w:divBdr>
                        <w:top w:val="none" w:sz="0" w:space="0" w:color="auto"/>
                        <w:left w:val="none" w:sz="0" w:space="0" w:color="auto"/>
                        <w:bottom w:val="none" w:sz="0" w:space="0" w:color="auto"/>
                        <w:right w:val="none" w:sz="0" w:space="0" w:color="auto"/>
                      </w:divBdr>
                    </w:div>
                  </w:divsChild>
                </w:div>
                <w:div w:id="24209902">
                  <w:marLeft w:val="0"/>
                  <w:marRight w:val="0"/>
                  <w:marTop w:val="0"/>
                  <w:marBottom w:val="0"/>
                  <w:divBdr>
                    <w:top w:val="none" w:sz="0" w:space="0" w:color="auto"/>
                    <w:left w:val="none" w:sz="0" w:space="0" w:color="auto"/>
                    <w:bottom w:val="none" w:sz="0" w:space="0" w:color="auto"/>
                    <w:right w:val="none" w:sz="0" w:space="0" w:color="auto"/>
                  </w:divBdr>
                  <w:divsChild>
                    <w:div w:id="785346544">
                      <w:marLeft w:val="0"/>
                      <w:marRight w:val="0"/>
                      <w:marTop w:val="0"/>
                      <w:marBottom w:val="0"/>
                      <w:divBdr>
                        <w:top w:val="none" w:sz="0" w:space="0" w:color="auto"/>
                        <w:left w:val="none" w:sz="0" w:space="0" w:color="auto"/>
                        <w:bottom w:val="none" w:sz="0" w:space="0" w:color="auto"/>
                        <w:right w:val="none" w:sz="0" w:space="0" w:color="auto"/>
                      </w:divBdr>
                    </w:div>
                  </w:divsChild>
                </w:div>
                <w:div w:id="247931564">
                  <w:marLeft w:val="0"/>
                  <w:marRight w:val="0"/>
                  <w:marTop w:val="0"/>
                  <w:marBottom w:val="0"/>
                  <w:divBdr>
                    <w:top w:val="none" w:sz="0" w:space="0" w:color="auto"/>
                    <w:left w:val="none" w:sz="0" w:space="0" w:color="auto"/>
                    <w:bottom w:val="none" w:sz="0" w:space="0" w:color="auto"/>
                    <w:right w:val="none" w:sz="0" w:space="0" w:color="auto"/>
                  </w:divBdr>
                  <w:divsChild>
                    <w:div w:id="154146251">
                      <w:marLeft w:val="0"/>
                      <w:marRight w:val="0"/>
                      <w:marTop w:val="0"/>
                      <w:marBottom w:val="0"/>
                      <w:divBdr>
                        <w:top w:val="none" w:sz="0" w:space="0" w:color="auto"/>
                        <w:left w:val="none" w:sz="0" w:space="0" w:color="auto"/>
                        <w:bottom w:val="none" w:sz="0" w:space="0" w:color="auto"/>
                        <w:right w:val="none" w:sz="0" w:space="0" w:color="auto"/>
                      </w:divBdr>
                    </w:div>
                  </w:divsChild>
                </w:div>
                <w:div w:id="1826193347">
                  <w:marLeft w:val="0"/>
                  <w:marRight w:val="0"/>
                  <w:marTop w:val="0"/>
                  <w:marBottom w:val="0"/>
                  <w:divBdr>
                    <w:top w:val="none" w:sz="0" w:space="0" w:color="auto"/>
                    <w:left w:val="none" w:sz="0" w:space="0" w:color="auto"/>
                    <w:bottom w:val="none" w:sz="0" w:space="0" w:color="auto"/>
                    <w:right w:val="none" w:sz="0" w:space="0" w:color="auto"/>
                  </w:divBdr>
                  <w:divsChild>
                    <w:div w:id="647055391">
                      <w:marLeft w:val="0"/>
                      <w:marRight w:val="0"/>
                      <w:marTop w:val="0"/>
                      <w:marBottom w:val="0"/>
                      <w:divBdr>
                        <w:top w:val="none" w:sz="0" w:space="0" w:color="auto"/>
                        <w:left w:val="none" w:sz="0" w:space="0" w:color="auto"/>
                        <w:bottom w:val="none" w:sz="0" w:space="0" w:color="auto"/>
                        <w:right w:val="none" w:sz="0" w:space="0" w:color="auto"/>
                      </w:divBdr>
                    </w:div>
                  </w:divsChild>
                </w:div>
                <w:div w:id="982075790">
                  <w:marLeft w:val="0"/>
                  <w:marRight w:val="0"/>
                  <w:marTop w:val="0"/>
                  <w:marBottom w:val="0"/>
                  <w:divBdr>
                    <w:top w:val="none" w:sz="0" w:space="0" w:color="auto"/>
                    <w:left w:val="none" w:sz="0" w:space="0" w:color="auto"/>
                    <w:bottom w:val="none" w:sz="0" w:space="0" w:color="auto"/>
                    <w:right w:val="none" w:sz="0" w:space="0" w:color="auto"/>
                  </w:divBdr>
                  <w:divsChild>
                    <w:div w:id="405802250">
                      <w:marLeft w:val="0"/>
                      <w:marRight w:val="0"/>
                      <w:marTop w:val="0"/>
                      <w:marBottom w:val="0"/>
                      <w:divBdr>
                        <w:top w:val="none" w:sz="0" w:space="0" w:color="auto"/>
                        <w:left w:val="none" w:sz="0" w:space="0" w:color="auto"/>
                        <w:bottom w:val="none" w:sz="0" w:space="0" w:color="auto"/>
                        <w:right w:val="none" w:sz="0" w:space="0" w:color="auto"/>
                      </w:divBdr>
                    </w:div>
                  </w:divsChild>
                </w:div>
                <w:div w:id="1840076314">
                  <w:marLeft w:val="0"/>
                  <w:marRight w:val="0"/>
                  <w:marTop w:val="0"/>
                  <w:marBottom w:val="0"/>
                  <w:divBdr>
                    <w:top w:val="none" w:sz="0" w:space="0" w:color="auto"/>
                    <w:left w:val="none" w:sz="0" w:space="0" w:color="auto"/>
                    <w:bottom w:val="none" w:sz="0" w:space="0" w:color="auto"/>
                    <w:right w:val="none" w:sz="0" w:space="0" w:color="auto"/>
                  </w:divBdr>
                  <w:divsChild>
                    <w:div w:id="1907836776">
                      <w:marLeft w:val="0"/>
                      <w:marRight w:val="0"/>
                      <w:marTop w:val="0"/>
                      <w:marBottom w:val="0"/>
                      <w:divBdr>
                        <w:top w:val="none" w:sz="0" w:space="0" w:color="auto"/>
                        <w:left w:val="none" w:sz="0" w:space="0" w:color="auto"/>
                        <w:bottom w:val="none" w:sz="0" w:space="0" w:color="auto"/>
                        <w:right w:val="none" w:sz="0" w:space="0" w:color="auto"/>
                      </w:divBdr>
                    </w:div>
                  </w:divsChild>
                </w:div>
                <w:div w:id="253518156">
                  <w:marLeft w:val="0"/>
                  <w:marRight w:val="0"/>
                  <w:marTop w:val="0"/>
                  <w:marBottom w:val="0"/>
                  <w:divBdr>
                    <w:top w:val="none" w:sz="0" w:space="0" w:color="auto"/>
                    <w:left w:val="none" w:sz="0" w:space="0" w:color="auto"/>
                    <w:bottom w:val="none" w:sz="0" w:space="0" w:color="auto"/>
                    <w:right w:val="none" w:sz="0" w:space="0" w:color="auto"/>
                  </w:divBdr>
                  <w:divsChild>
                    <w:div w:id="1194073194">
                      <w:marLeft w:val="0"/>
                      <w:marRight w:val="0"/>
                      <w:marTop w:val="0"/>
                      <w:marBottom w:val="0"/>
                      <w:divBdr>
                        <w:top w:val="none" w:sz="0" w:space="0" w:color="auto"/>
                        <w:left w:val="none" w:sz="0" w:space="0" w:color="auto"/>
                        <w:bottom w:val="none" w:sz="0" w:space="0" w:color="auto"/>
                        <w:right w:val="none" w:sz="0" w:space="0" w:color="auto"/>
                      </w:divBdr>
                    </w:div>
                  </w:divsChild>
                </w:div>
                <w:div w:id="1529371251">
                  <w:marLeft w:val="0"/>
                  <w:marRight w:val="0"/>
                  <w:marTop w:val="0"/>
                  <w:marBottom w:val="0"/>
                  <w:divBdr>
                    <w:top w:val="none" w:sz="0" w:space="0" w:color="auto"/>
                    <w:left w:val="none" w:sz="0" w:space="0" w:color="auto"/>
                    <w:bottom w:val="none" w:sz="0" w:space="0" w:color="auto"/>
                    <w:right w:val="none" w:sz="0" w:space="0" w:color="auto"/>
                  </w:divBdr>
                  <w:divsChild>
                    <w:div w:id="1058212363">
                      <w:marLeft w:val="0"/>
                      <w:marRight w:val="0"/>
                      <w:marTop w:val="0"/>
                      <w:marBottom w:val="0"/>
                      <w:divBdr>
                        <w:top w:val="none" w:sz="0" w:space="0" w:color="auto"/>
                        <w:left w:val="none" w:sz="0" w:space="0" w:color="auto"/>
                        <w:bottom w:val="none" w:sz="0" w:space="0" w:color="auto"/>
                        <w:right w:val="none" w:sz="0" w:space="0" w:color="auto"/>
                      </w:divBdr>
                    </w:div>
                  </w:divsChild>
                </w:div>
                <w:div w:id="138307776">
                  <w:marLeft w:val="0"/>
                  <w:marRight w:val="0"/>
                  <w:marTop w:val="0"/>
                  <w:marBottom w:val="0"/>
                  <w:divBdr>
                    <w:top w:val="none" w:sz="0" w:space="0" w:color="auto"/>
                    <w:left w:val="none" w:sz="0" w:space="0" w:color="auto"/>
                    <w:bottom w:val="none" w:sz="0" w:space="0" w:color="auto"/>
                    <w:right w:val="none" w:sz="0" w:space="0" w:color="auto"/>
                  </w:divBdr>
                  <w:divsChild>
                    <w:div w:id="553393921">
                      <w:marLeft w:val="0"/>
                      <w:marRight w:val="0"/>
                      <w:marTop w:val="0"/>
                      <w:marBottom w:val="0"/>
                      <w:divBdr>
                        <w:top w:val="none" w:sz="0" w:space="0" w:color="auto"/>
                        <w:left w:val="none" w:sz="0" w:space="0" w:color="auto"/>
                        <w:bottom w:val="none" w:sz="0" w:space="0" w:color="auto"/>
                        <w:right w:val="none" w:sz="0" w:space="0" w:color="auto"/>
                      </w:divBdr>
                    </w:div>
                  </w:divsChild>
                </w:div>
                <w:div w:id="2071228081">
                  <w:marLeft w:val="0"/>
                  <w:marRight w:val="0"/>
                  <w:marTop w:val="0"/>
                  <w:marBottom w:val="0"/>
                  <w:divBdr>
                    <w:top w:val="none" w:sz="0" w:space="0" w:color="auto"/>
                    <w:left w:val="none" w:sz="0" w:space="0" w:color="auto"/>
                    <w:bottom w:val="none" w:sz="0" w:space="0" w:color="auto"/>
                    <w:right w:val="none" w:sz="0" w:space="0" w:color="auto"/>
                  </w:divBdr>
                  <w:divsChild>
                    <w:div w:id="790586555">
                      <w:marLeft w:val="0"/>
                      <w:marRight w:val="0"/>
                      <w:marTop w:val="0"/>
                      <w:marBottom w:val="0"/>
                      <w:divBdr>
                        <w:top w:val="none" w:sz="0" w:space="0" w:color="auto"/>
                        <w:left w:val="none" w:sz="0" w:space="0" w:color="auto"/>
                        <w:bottom w:val="none" w:sz="0" w:space="0" w:color="auto"/>
                        <w:right w:val="none" w:sz="0" w:space="0" w:color="auto"/>
                      </w:divBdr>
                    </w:div>
                  </w:divsChild>
                </w:div>
                <w:div w:id="1890994424">
                  <w:marLeft w:val="0"/>
                  <w:marRight w:val="0"/>
                  <w:marTop w:val="0"/>
                  <w:marBottom w:val="0"/>
                  <w:divBdr>
                    <w:top w:val="none" w:sz="0" w:space="0" w:color="auto"/>
                    <w:left w:val="none" w:sz="0" w:space="0" w:color="auto"/>
                    <w:bottom w:val="none" w:sz="0" w:space="0" w:color="auto"/>
                    <w:right w:val="none" w:sz="0" w:space="0" w:color="auto"/>
                  </w:divBdr>
                  <w:divsChild>
                    <w:div w:id="470750993">
                      <w:marLeft w:val="0"/>
                      <w:marRight w:val="0"/>
                      <w:marTop w:val="0"/>
                      <w:marBottom w:val="0"/>
                      <w:divBdr>
                        <w:top w:val="none" w:sz="0" w:space="0" w:color="auto"/>
                        <w:left w:val="none" w:sz="0" w:space="0" w:color="auto"/>
                        <w:bottom w:val="none" w:sz="0" w:space="0" w:color="auto"/>
                        <w:right w:val="none" w:sz="0" w:space="0" w:color="auto"/>
                      </w:divBdr>
                    </w:div>
                  </w:divsChild>
                </w:div>
                <w:div w:id="1626690231">
                  <w:marLeft w:val="0"/>
                  <w:marRight w:val="0"/>
                  <w:marTop w:val="0"/>
                  <w:marBottom w:val="0"/>
                  <w:divBdr>
                    <w:top w:val="none" w:sz="0" w:space="0" w:color="auto"/>
                    <w:left w:val="none" w:sz="0" w:space="0" w:color="auto"/>
                    <w:bottom w:val="none" w:sz="0" w:space="0" w:color="auto"/>
                    <w:right w:val="none" w:sz="0" w:space="0" w:color="auto"/>
                  </w:divBdr>
                  <w:divsChild>
                    <w:div w:id="188922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097152">
          <w:marLeft w:val="0"/>
          <w:marRight w:val="0"/>
          <w:marTop w:val="0"/>
          <w:marBottom w:val="0"/>
          <w:divBdr>
            <w:top w:val="none" w:sz="0" w:space="0" w:color="auto"/>
            <w:left w:val="none" w:sz="0" w:space="0" w:color="auto"/>
            <w:bottom w:val="none" w:sz="0" w:space="0" w:color="auto"/>
            <w:right w:val="none" w:sz="0" w:space="0" w:color="auto"/>
          </w:divBdr>
        </w:div>
        <w:div w:id="317535922">
          <w:marLeft w:val="0"/>
          <w:marRight w:val="0"/>
          <w:marTop w:val="0"/>
          <w:marBottom w:val="0"/>
          <w:divBdr>
            <w:top w:val="none" w:sz="0" w:space="0" w:color="auto"/>
            <w:left w:val="none" w:sz="0" w:space="0" w:color="auto"/>
            <w:bottom w:val="none" w:sz="0" w:space="0" w:color="auto"/>
            <w:right w:val="none" w:sz="0" w:space="0" w:color="auto"/>
          </w:divBdr>
        </w:div>
        <w:div w:id="1684159792">
          <w:marLeft w:val="0"/>
          <w:marRight w:val="0"/>
          <w:marTop w:val="0"/>
          <w:marBottom w:val="0"/>
          <w:divBdr>
            <w:top w:val="none" w:sz="0" w:space="0" w:color="auto"/>
            <w:left w:val="none" w:sz="0" w:space="0" w:color="auto"/>
            <w:bottom w:val="none" w:sz="0" w:space="0" w:color="auto"/>
            <w:right w:val="none" w:sz="0" w:space="0" w:color="auto"/>
          </w:divBdr>
        </w:div>
        <w:div w:id="1844588652">
          <w:marLeft w:val="0"/>
          <w:marRight w:val="0"/>
          <w:marTop w:val="0"/>
          <w:marBottom w:val="0"/>
          <w:divBdr>
            <w:top w:val="none" w:sz="0" w:space="0" w:color="auto"/>
            <w:left w:val="none" w:sz="0" w:space="0" w:color="auto"/>
            <w:bottom w:val="none" w:sz="0" w:space="0" w:color="auto"/>
            <w:right w:val="none" w:sz="0" w:space="0" w:color="auto"/>
          </w:divBdr>
        </w:div>
        <w:div w:id="797527855">
          <w:marLeft w:val="0"/>
          <w:marRight w:val="0"/>
          <w:marTop w:val="0"/>
          <w:marBottom w:val="0"/>
          <w:divBdr>
            <w:top w:val="none" w:sz="0" w:space="0" w:color="auto"/>
            <w:left w:val="none" w:sz="0" w:space="0" w:color="auto"/>
            <w:bottom w:val="none" w:sz="0" w:space="0" w:color="auto"/>
            <w:right w:val="none" w:sz="0" w:space="0" w:color="auto"/>
          </w:divBdr>
        </w:div>
        <w:div w:id="1437866998">
          <w:marLeft w:val="0"/>
          <w:marRight w:val="0"/>
          <w:marTop w:val="0"/>
          <w:marBottom w:val="0"/>
          <w:divBdr>
            <w:top w:val="none" w:sz="0" w:space="0" w:color="auto"/>
            <w:left w:val="none" w:sz="0" w:space="0" w:color="auto"/>
            <w:bottom w:val="none" w:sz="0" w:space="0" w:color="auto"/>
            <w:right w:val="none" w:sz="0" w:space="0" w:color="auto"/>
          </w:divBdr>
        </w:div>
        <w:div w:id="1263611467">
          <w:marLeft w:val="0"/>
          <w:marRight w:val="0"/>
          <w:marTop w:val="0"/>
          <w:marBottom w:val="0"/>
          <w:divBdr>
            <w:top w:val="none" w:sz="0" w:space="0" w:color="auto"/>
            <w:left w:val="none" w:sz="0" w:space="0" w:color="auto"/>
            <w:bottom w:val="none" w:sz="0" w:space="0" w:color="auto"/>
            <w:right w:val="none" w:sz="0" w:space="0" w:color="auto"/>
          </w:divBdr>
        </w:div>
      </w:divsChild>
    </w:div>
    <w:div w:id="256719138">
      <w:bodyDiv w:val="1"/>
      <w:marLeft w:val="0"/>
      <w:marRight w:val="0"/>
      <w:marTop w:val="0"/>
      <w:marBottom w:val="0"/>
      <w:divBdr>
        <w:top w:val="none" w:sz="0" w:space="0" w:color="auto"/>
        <w:left w:val="none" w:sz="0" w:space="0" w:color="auto"/>
        <w:bottom w:val="none" w:sz="0" w:space="0" w:color="auto"/>
        <w:right w:val="none" w:sz="0" w:space="0" w:color="auto"/>
      </w:divBdr>
      <w:divsChild>
        <w:div w:id="748308072">
          <w:marLeft w:val="0"/>
          <w:marRight w:val="0"/>
          <w:marTop w:val="0"/>
          <w:marBottom w:val="0"/>
          <w:divBdr>
            <w:top w:val="none" w:sz="0" w:space="0" w:color="auto"/>
            <w:left w:val="none" w:sz="0" w:space="0" w:color="auto"/>
            <w:bottom w:val="none" w:sz="0" w:space="0" w:color="auto"/>
            <w:right w:val="none" w:sz="0" w:space="0" w:color="auto"/>
          </w:divBdr>
        </w:div>
        <w:div w:id="1587037059">
          <w:marLeft w:val="0"/>
          <w:marRight w:val="0"/>
          <w:marTop w:val="0"/>
          <w:marBottom w:val="0"/>
          <w:divBdr>
            <w:top w:val="none" w:sz="0" w:space="0" w:color="auto"/>
            <w:left w:val="none" w:sz="0" w:space="0" w:color="auto"/>
            <w:bottom w:val="none" w:sz="0" w:space="0" w:color="auto"/>
            <w:right w:val="none" w:sz="0" w:space="0" w:color="auto"/>
          </w:divBdr>
          <w:divsChild>
            <w:div w:id="1744179897">
              <w:marLeft w:val="0"/>
              <w:marRight w:val="0"/>
              <w:marTop w:val="0"/>
              <w:marBottom w:val="0"/>
              <w:divBdr>
                <w:top w:val="none" w:sz="0" w:space="0" w:color="auto"/>
                <w:left w:val="none" w:sz="0" w:space="0" w:color="auto"/>
                <w:bottom w:val="none" w:sz="0" w:space="0" w:color="auto"/>
                <w:right w:val="none" w:sz="0" w:space="0" w:color="auto"/>
              </w:divBdr>
              <w:divsChild>
                <w:div w:id="2829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541380">
      <w:bodyDiv w:val="1"/>
      <w:marLeft w:val="0"/>
      <w:marRight w:val="0"/>
      <w:marTop w:val="0"/>
      <w:marBottom w:val="0"/>
      <w:divBdr>
        <w:top w:val="none" w:sz="0" w:space="0" w:color="auto"/>
        <w:left w:val="none" w:sz="0" w:space="0" w:color="auto"/>
        <w:bottom w:val="none" w:sz="0" w:space="0" w:color="auto"/>
        <w:right w:val="none" w:sz="0" w:space="0" w:color="auto"/>
      </w:divBdr>
      <w:divsChild>
        <w:div w:id="468977628">
          <w:marLeft w:val="0"/>
          <w:marRight w:val="0"/>
          <w:marTop w:val="0"/>
          <w:marBottom w:val="0"/>
          <w:divBdr>
            <w:top w:val="none" w:sz="0" w:space="0" w:color="auto"/>
            <w:left w:val="none" w:sz="0" w:space="0" w:color="auto"/>
            <w:bottom w:val="none" w:sz="0" w:space="0" w:color="auto"/>
            <w:right w:val="none" w:sz="0" w:space="0" w:color="auto"/>
          </w:divBdr>
        </w:div>
        <w:div w:id="2119450586">
          <w:marLeft w:val="0"/>
          <w:marRight w:val="0"/>
          <w:marTop w:val="0"/>
          <w:marBottom w:val="0"/>
          <w:divBdr>
            <w:top w:val="none" w:sz="0" w:space="0" w:color="auto"/>
            <w:left w:val="none" w:sz="0" w:space="0" w:color="auto"/>
            <w:bottom w:val="none" w:sz="0" w:space="0" w:color="auto"/>
            <w:right w:val="none" w:sz="0" w:space="0" w:color="auto"/>
          </w:divBdr>
          <w:divsChild>
            <w:div w:id="1529022231">
              <w:marLeft w:val="0"/>
              <w:marRight w:val="0"/>
              <w:marTop w:val="0"/>
              <w:marBottom w:val="0"/>
              <w:divBdr>
                <w:top w:val="none" w:sz="0" w:space="0" w:color="auto"/>
                <w:left w:val="none" w:sz="0" w:space="0" w:color="auto"/>
                <w:bottom w:val="none" w:sz="0" w:space="0" w:color="auto"/>
                <w:right w:val="none" w:sz="0" w:space="0" w:color="auto"/>
              </w:divBdr>
              <w:divsChild>
                <w:div w:id="33233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175287">
      <w:bodyDiv w:val="1"/>
      <w:marLeft w:val="0"/>
      <w:marRight w:val="0"/>
      <w:marTop w:val="0"/>
      <w:marBottom w:val="0"/>
      <w:divBdr>
        <w:top w:val="none" w:sz="0" w:space="0" w:color="auto"/>
        <w:left w:val="none" w:sz="0" w:space="0" w:color="auto"/>
        <w:bottom w:val="none" w:sz="0" w:space="0" w:color="auto"/>
        <w:right w:val="none" w:sz="0" w:space="0" w:color="auto"/>
      </w:divBdr>
    </w:div>
    <w:div w:id="1150053222">
      <w:bodyDiv w:val="1"/>
      <w:marLeft w:val="0"/>
      <w:marRight w:val="0"/>
      <w:marTop w:val="0"/>
      <w:marBottom w:val="0"/>
      <w:divBdr>
        <w:top w:val="none" w:sz="0" w:space="0" w:color="auto"/>
        <w:left w:val="none" w:sz="0" w:space="0" w:color="auto"/>
        <w:bottom w:val="none" w:sz="0" w:space="0" w:color="auto"/>
        <w:right w:val="none" w:sz="0" w:space="0" w:color="auto"/>
      </w:divBdr>
    </w:div>
    <w:div w:id="1689212890">
      <w:bodyDiv w:val="1"/>
      <w:marLeft w:val="0"/>
      <w:marRight w:val="0"/>
      <w:marTop w:val="0"/>
      <w:marBottom w:val="0"/>
      <w:divBdr>
        <w:top w:val="none" w:sz="0" w:space="0" w:color="auto"/>
        <w:left w:val="none" w:sz="0" w:space="0" w:color="auto"/>
        <w:bottom w:val="none" w:sz="0" w:space="0" w:color="auto"/>
        <w:right w:val="none" w:sz="0" w:space="0" w:color="auto"/>
      </w:divBdr>
    </w:div>
    <w:div w:id="188647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restcom.cz/" TargetMode="External"/><Relationship Id="rId18" Type="http://schemas.openxmlformats.org/officeDocument/2006/relationships/hyperlink" Target="http://www.cbre.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kamila.cadkova@crestcom.cz" TargetMode="External"/><Relationship Id="rId17" Type="http://schemas.openxmlformats.org/officeDocument/2006/relationships/hyperlink" Target="https://www.instagram.com/cbre_cz/" TargetMode="External"/><Relationship Id="rId2" Type="http://schemas.openxmlformats.org/officeDocument/2006/relationships/customXml" Target="../customXml/item2.xml"/><Relationship Id="rId16" Type="http://schemas.openxmlformats.org/officeDocument/2006/relationships/hyperlink" Target="https://www.linkedin.com/company/3585825?trk=tyah&amp;trkInfo=clickedVertical%253Acompany%252Cidx%253A1-1-1%252CtarId%253A1431360641868%252Ctas%253Acbre%2520czech%22%20\t%20%22_blan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nisa.kolarikova@crestcom.cz" TargetMode="External"/><Relationship Id="rId5" Type="http://schemas.openxmlformats.org/officeDocument/2006/relationships/numbering" Target="numbering.xml"/><Relationship Id="rId15" Type="http://schemas.openxmlformats.org/officeDocument/2006/relationships/hyperlink" Target="https://www.facebook.com/pages/CBRE-News/626929170775263?ref=ts&amp;fref=t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vana.prochazkova@cbre.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razova\Downloads\2021_press_release_template.dotx" TargetMode="External"/></Relationships>
</file>

<file path=word/theme/theme1.xml><?xml version="1.0" encoding="utf-8"?>
<a:theme xmlns:a="http://schemas.openxmlformats.org/drawingml/2006/main" name="CBRE 2021 Theme">
  <a:themeElements>
    <a:clrScheme name="CBRE 2021">
      <a:dk1>
        <a:srgbClr val="425254"/>
      </a:dk1>
      <a:lt1>
        <a:srgbClr val="FFFFFF"/>
      </a:lt1>
      <a:dk2>
        <a:srgbClr val="DCD99A"/>
      </a:dk2>
      <a:lt2>
        <a:srgbClr val="7FBBAD"/>
      </a:lt2>
      <a:accent1>
        <a:srgbClr val="1F3765"/>
      </a:accent1>
      <a:accent2>
        <a:srgbClr val="3E7DA6"/>
      </a:accent2>
      <a:accent3>
        <a:srgbClr val="CAD1D3"/>
      </a:accent3>
      <a:accent4>
        <a:srgbClr val="96B3B6"/>
      </a:accent4>
      <a:accent5>
        <a:srgbClr val="7F8481"/>
      </a:accent5>
      <a:accent6>
        <a:srgbClr val="003D30"/>
      </a:accent6>
      <a:hlink>
        <a:srgbClr val="80BBAD"/>
      </a:hlink>
      <a:folHlink>
        <a:srgbClr val="CAD1D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8c12310-cec0-45af-89e4-4278154c9cc2" xsi:nil="true"/>
    <lcf76f155ced4ddcb4097134ff3c332f xmlns="d603c823-c8e5-4558-a031-867f95ca91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AB9F74-1B8C-4622-8F63-161D92A8CC0A}">
  <ds:schemaRefs>
    <ds:schemaRef ds:uri="http://schemas.microsoft.com/sharepoint/v3/contenttype/forms"/>
  </ds:schemaRefs>
</ds:datastoreItem>
</file>

<file path=customXml/itemProps2.xml><?xml version="1.0" encoding="utf-8"?>
<ds:datastoreItem xmlns:ds="http://schemas.openxmlformats.org/officeDocument/2006/customXml" ds:itemID="{04EA1213-7AF9-4F09-87C2-2FC845AE8B89}">
  <ds:schemaRefs>
    <ds:schemaRef ds:uri="http://schemas.openxmlformats.org/officeDocument/2006/bibliography"/>
  </ds:schemaRefs>
</ds:datastoreItem>
</file>

<file path=customXml/itemProps3.xml><?xml version="1.0" encoding="utf-8"?>
<ds:datastoreItem xmlns:ds="http://schemas.openxmlformats.org/officeDocument/2006/customXml" ds:itemID="{C8E1F6FD-EAE7-4D59-8757-167568FCD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BB3220-7D47-4C58-8F96-5A29F277069C}">
  <ds:schemaRefs>
    <ds:schemaRef ds:uri="http://schemas.microsoft.com/office/2006/metadata/properties"/>
    <ds:schemaRef ds:uri="http://schemas.microsoft.com/office/infopath/2007/PartnerControls"/>
    <ds:schemaRef ds:uri="18c12310-cec0-45af-89e4-4278154c9cc2"/>
    <ds:schemaRef ds:uri="d603c823-c8e5-4558-a031-867f95ca9115"/>
  </ds:schemaRefs>
</ds:datastoreItem>
</file>

<file path=docMetadata/LabelInfo.xml><?xml version="1.0" encoding="utf-8"?>
<clbl:labelList xmlns:clbl="http://schemas.microsoft.com/office/2020/mipLabelMetadata">
  <clbl:label id="{bb24e89f-6132-424b-9c64-0340397f5d20}" enabled="1" method="Privileged" siteId="{0159e9d0-09a0-4edf-96ba-a3deea363c28}" contentBits="0" removed="0"/>
</clbl:labelList>
</file>

<file path=docProps/app.xml><?xml version="1.0" encoding="utf-8"?>
<Properties xmlns="http://schemas.openxmlformats.org/officeDocument/2006/extended-properties" xmlns:vt="http://schemas.openxmlformats.org/officeDocument/2006/docPropsVTypes">
  <Template>2021_press_release_template</Template>
  <TotalTime>41</TotalTime>
  <Pages>3</Pages>
  <Words>1330</Words>
  <Characters>7847</Characters>
  <Application>Microsoft Office Word</Application>
  <DocSecurity>0</DocSecurity>
  <Lines>65</Lines>
  <Paragraphs>18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CBRE</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Mrazova, Renata @ Prague</dc:creator>
  <cp:lastModifiedBy>Denisa Kolaříková | CrestCommunications a.s.</cp:lastModifiedBy>
  <cp:revision>9</cp:revision>
  <cp:lastPrinted>2026-08-28T12:09:00Z</cp:lastPrinted>
  <dcterms:created xsi:type="dcterms:W3CDTF">2026-09-08T08:18:00Z</dcterms:created>
  <dcterms:modified xsi:type="dcterms:W3CDTF">2026-09-08T08:58:00Z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79582bb07378187fef09e399b31e6724a7085e025b4626669094dd50a9e9af3f</vt:lpwstr>
  </property>
  <property fmtid="{D5CDD505-2E9C-101B-9397-08002B2CF9AE}" pid="3" name="ContentTypeId">
    <vt:lpwstr>0x010100D037425BC85BAC47A18BE758018E6255</vt:lpwstr>
  </property>
  <property fmtid="{D5CDD505-2E9C-101B-9397-08002B2CF9AE}" pid="4" name="MediaServiceImageTags">
    <vt:lpwstr/>
  </property>
</Properties>
</file>